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E2D" w14:textId="51721252" w:rsidR="00BE7CA1" w:rsidRPr="00045C15" w:rsidRDefault="00045C15" w:rsidP="00BB641E">
      <w:pPr>
        <w:jc w:val="both"/>
        <w:rPr>
          <w:b/>
        </w:rPr>
      </w:pPr>
      <w:r w:rsidRPr="00045C15">
        <w:rPr>
          <w:b/>
        </w:rPr>
        <w:t>ANEXO VI ARCHIVO DE REVISIÓN</w:t>
      </w:r>
      <w:r w:rsidR="00FF3EB4">
        <w:rPr>
          <w:b/>
        </w:rPr>
        <w:t xml:space="preserve"> (EJEMPLO)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69"/>
      </w:tblGrid>
      <w:tr w:rsidR="005864C6" w14:paraId="338EA8E6" w14:textId="77777777" w:rsidTr="00E80AF5">
        <w:tc>
          <w:tcPr>
            <w:tcW w:w="846" w:type="dxa"/>
            <w:shd w:val="clear" w:color="auto" w:fill="F7CAAC" w:themeFill="accent2" w:themeFillTint="66"/>
          </w:tcPr>
          <w:p w14:paraId="71D24F6A" w14:textId="77777777" w:rsidR="005864C6" w:rsidRDefault="005864C6" w:rsidP="00BB641E">
            <w:pPr>
              <w:jc w:val="both"/>
            </w:pPr>
          </w:p>
        </w:tc>
        <w:tc>
          <w:tcPr>
            <w:tcW w:w="6379" w:type="dxa"/>
            <w:shd w:val="clear" w:color="auto" w:fill="F7CAAC" w:themeFill="accent2" w:themeFillTint="66"/>
          </w:tcPr>
          <w:p w14:paraId="2C3D7A37" w14:textId="38D0866C" w:rsidR="005864C6" w:rsidRPr="005864C6" w:rsidRDefault="005864C6" w:rsidP="00BB641E">
            <w:pPr>
              <w:jc w:val="both"/>
              <w:rPr>
                <w:b/>
              </w:rPr>
            </w:pPr>
            <w:r w:rsidRPr="005864C6">
              <w:rPr>
                <w:b/>
              </w:rPr>
              <w:t>COMPROBACIÓN DEL ARCHIVO DE REVISIÓN</w:t>
            </w:r>
          </w:p>
        </w:tc>
        <w:tc>
          <w:tcPr>
            <w:tcW w:w="1269" w:type="dxa"/>
            <w:shd w:val="clear" w:color="auto" w:fill="F7CAAC" w:themeFill="accent2" w:themeFillTint="66"/>
          </w:tcPr>
          <w:p w14:paraId="4D864840" w14:textId="77777777" w:rsidR="005864C6" w:rsidRDefault="005864C6" w:rsidP="00BB641E">
            <w:pPr>
              <w:jc w:val="both"/>
            </w:pPr>
          </w:p>
        </w:tc>
      </w:tr>
      <w:tr w:rsidR="005864C6" w14:paraId="64492556" w14:textId="77777777" w:rsidTr="005864C6">
        <w:tc>
          <w:tcPr>
            <w:tcW w:w="846" w:type="dxa"/>
          </w:tcPr>
          <w:p w14:paraId="02F25DBE" w14:textId="1A6969BD" w:rsidR="005864C6" w:rsidRDefault="006A629E" w:rsidP="00BB641E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14:paraId="3DC4DAA4" w14:textId="7E33A42E" w:rsidR="005864C6" w:rsidRDefault="005864C6" w:rsidP="00BB641E">
            <w:pPr>
              <w:jc w:val="both"/>
            </w:pPr>
            <w:r>
              <w:t xml:space="preserve">Se verificará que la información obtenida por los auditores, tanto los auditores colaboradores como el </w:t>
            </w:r>
            <w:r w:rsidR="005502B2">
              <w:t>órgano interventor de la</w:t>
            </w:r>
            <w:r w:rsidR="00BB641E">
              <w:t xml:space="preserve"> entidad local</w:t>
            </w:r>
            <w:r>
              <w:t>, en el curso de sus actuaciones se conserva mediante un sistema de archivos que garantice la confidencialidad y la adecuada custodia de documentos y papeles de trabajo.</w:t>
            </w:r>
          </w:p>
          <w:p w14:paraId="774AF709" w14:textId="77777777" w:rsidR="005864C6" w:rsidRDefault="005864C6" w:rsidP="00BB641E">
            <w:pPr>
              <w:jc w:val="both"/>
            </w:pPr>
          </w:p>
          <w:p w14:paraId="44048A5D" w14:textId="77777777" w:rsidR="005864C6" w:rsidRDefault="005864C6" w:rsidP="00BB641E">
            <w:pPr>
              <w:jc w:val="both"/>
            </w:pPr>
            <w:r>
              <w:t>El contenido, sin ánimo de exhaustividad, del archivo de revisión incluirá los siguientes documentos según el apartado A3 de la NIA-ES-SP 1230 y Anexo:</w:t>
            </w:r>
          </w:p>
          <w:p w14:paraId="7D3CE1E1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Contrato de servicios de colaboración con el auditor privado acompañado de los pliegos de cláusulas administrativas y de prescripciones técnicas.</w:t>
            </w:r>
          </w:p>
          <w:p w14:paraId="23B27B9C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Convenio de colaboración con la administración pública correspondiente.</w:t>
            </w:r>
          </w:p>
          <w:p w14:paraId="113CE7B7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Acuerdo de prórroga del contrato de servicios o del convenio, en su caso.</w:t>
            </w:r>
          </w:p>
          <w:p w14:paraId="68921B5D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Modificaciones contractuales o del convenio que, en su caso, pudieran producirse. Oficio de decreto de la auditoría con los “Términos del documento de inicio de la auditoría”.</w:t>
            </w:r>
          </w:p>
          <w:p w14:paraId="4830AE5A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Documentación acreditativa del cumplimiento de los requisitos de independencia y de no estar incurso en situación de incompatibilidad del auditor conforme a la normativa que le es de aplicación de todos los auditores que participen en el trabajo.</w:t>
            </w:r>
          </w:p>
          <w:p w14:paraId="0E9D9E4C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estados financieros o documentos auditados.</w:t>
            </w:r>
          </w:p>
          <w:p w14:paraId="4FCE76CA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Carta de manifestaciones.</w:t>
            </w:r>
          </w:p>
          <w:p w14:paraId="3EB01187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memorandos de conclusiones por áreas.</w:t>
            </w:r>
          </w:p>
          <w:p w14:paraId="039D4256" w14:textId="251217CA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Memorandos del auditor colaborador con la propuesta de las conclusiones que, a su juicio, deberían figurar en el informe de auditoría y, en su caso, en el informe de recomendaciones de control interno e informe adicional al de auditoría de cuentas (IRCIA).</w:t>
            </w:r>
          </w:p>
          <w:p w14:paraId="43068BFF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Propuesta de informe de auditoría del auditor colaborador que acompaña al memorando.</w:t>
            </w:r>
          </w:p>
          <w:p w14:paraId="6D359CA9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Propuesta IRCIA elaborada por el auditor colaborador que acompaña al memorando.</w:t>
            </w:r>
          </w:p>
          <w:p w14:paraId="3CC7F63B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provisional de auditoría de cuentas/operativa o de cumplimiento.</w:t>
            </w:r>
          </w:p>
          <w:p w14:paraId="5E3E1291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Alegaciones de la entidad auditada.</w:t>
            </w:r>
          </w:p>
          <w:p w14:paraId="0E5B3C6A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definitivo de auditoría de cuentas/operativa o de cumplimiento.</w:t>
            </w:r>
          </w:p>
          <w:p w14:paraId="5D296C06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>En su caso, informes provisionales y definitivos, de recomendaciones de control interno e informe adicional al de auditoría de cuentas (IRCIA).</w:t>
            </w:r>
          </w:p>
          <w:p w14:paraId="192200E4" w14:textId="4227585B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Notas de observaciones del auditor colaborador a las alegaciones formuladas por la entidad a los informes emitidos.</w:t>
            </w:r>
          </w:p>
          <w:p w14:paraId="4888F515" w14:textId="2CDEF9CE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Papeles de trabajo de la revisión efectuada por </w:t>
            </w:r>
            <w:r w:rsidR="00BB641E">
              <w:t xml:space="preserve">el </w:t>
            </w:r>
            <w:r w:rsidR="005502B2">
              <w:t xml:space="preserve">órgano interventor de la </w:t>
            </w:r>
            <w:r w:rsidR="00BB641E">
              <w:t>e</w:t>
            </w:r>
            <w:r w:rsidR="005502B2">
              <w:t xml:space="preserve">ntidad </w:t>
            </w:r>
            <w:r w:rsidR="00BB641E">
              <w:t>l</w:t>
            </w:r>
            <w:r w:rsidR="005502B2">
              <w:t>ocal</w:t>
            </w:r>
            <w:r>
              <w:t xml:space="preserve"> correspondiente.</w:t>
            </w:r>
          </w:p>
          <w:p w14:paraId="492F00B1" w14:textId="0543A20D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las hojas de los puntos de revisión entregadas al auditor colaborador. En su caso, propuesta de modificación del memorando de planificación (estrategia global de auditoría y plan de auditoría) para ejercicios siguientes.</w:t>
            </w:r>
          </w:p>
          <w:p w14:paraId="2B3A6CE1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Otros documentos y comunicaciones formales, distintas a lo señalado con anterioridad, que se hayan emitido.</w:t>
            </w:r>
          </w:p>
          <w:p w14:paraId="7B6FC0C3" w14:textId="77777777" w:rsidR="005864C6" w:rsidRDefault="005864C6" w:rsidP="00BB641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Documento de cierre de papeles de trabajo</w:t>
            </w:r>
          </w:p>
          <w:p w14:paraId="270301DD" w14:textId="77777777" w:rsidR="005864C6" w:rsidRDefault="005864C6" w:rsidP="00BB641E">
            <w:pPr>
              <w:jc w:val="both"/>
            </w:pPr>
          </w:p>
        </w:tc>
        <w:tc>
          <w:tcPr>
            <w:tcW w:w="1269" w:type="dxa"/>
          </w:tcPr>
          <w:p w14:paraId="396B4BD6" w14:textId="77777777" w:rsidR="005864C6" w:rsidRDefault="005864C6" w:rsidP="00BB641E">
            <w:pPr>
              <w:jc w:val="both"/>
            </w:pPr>
          </w:p>
        </w:tc>
      </w:tr>
      <w:tr w:rsidR="006A629E" w14:paraId="53A2668F" w14:textId="77777777" w:rsidTr="005864C6">
        <w:tc>
          <w:tcPr>
            <w:tcW w:w="846" w:type="dxa"/>
          </w:tcPr>
          <w:p w14:paraId="1C54CBFE" w14:textId="590A309B" w:rsidR="006A629E" w:rsidRDefault="006A629E" w:rsidP="00BB641E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14:paraId="65E810D3" w14:textId="77777777" w:rsidR="006A629E" w:rsidRPr="006A629E" w:rsidRDefault="006A629E" w:rsidP="006A629E">
            <w:pPr>
              <w:jc w:val="both"/>
            </w:pPr>
            <w:r w:rsidRPr="006A629E">
              <w:t>La documentación de auditoría debe ser suficiente para permitir a un auditor experimentado, que no haya tenido contacto previo con la auditoría, comprender:</w:t>
            </w:r>
          </w:p>
          <w:p w14:paraId="12DA693D" w14:textId="77777777" w:rsidR="006A629E" w:rsidRPr="006A629E" w:rsidRDefault="006A629E" w:rsidP="006A629E">
            <w:pPr>
              <w:numPr>
                <w:ilvl w:val="0"/>
                <w:numId w:val="2"/>
              </w:numPr>
              <w:jc w:val="both"/>
            </w:pPr>
            <w:r w:rsidRPr="006A629E">
              <w:t>La naturaleza, el momento de realización y la extensión de los procedimientos de auditoría aplicados y de los requerimientos legales y reglamentarios aplicables.</w:t>
            </w:r>
          </w:p>
          <w:p w14:paraId="600402EE" w14:textId="77777777" w:rsidR="006A629E" w:rsidRPr="006A629E" w:rsidRDefault="006A629E" w:rsidP="006A629E">
            <w:pPr>
              <w:numPr>
                <w:ilvl w:val="0"/>
                <w:numId w:val="2"/>
              </w:numPr>
              <w:jc w:val="both"/>
            </w:pPr>
            <w:r w:rsidRPr="006A629E">
              <w:t>Los resultados de los procedimientos de auditoría aplicados y la evidencia de auditoría obtenida; y</w:t>
            </w:r>
          </w:p>
          <w:p w14:paraId="7C228644" w14:textId="14F14007" w:rsidR="006A629E" w:rsidRDefault="006A629E" w:rsidP="006A629E">
            <w:pPr>
              <w:numPr>
                <w:ilvl w:val="0"/>
                <w:numId w:val="2"/>
              </w:numPr>
              <w:jc w:val="both"/>
            </w:pPr>
            <w:r w:rsidRPr="006A629E">
              <w:t>Las cuestiones significativas que surgieron durante la realización de la auditoría, las conclusiones alcanzadas sobre ellas, y los juicios profesionales significativos aplicados para alcanzar dichas conclusiones.</w:t>
            </w:r>
          </w:p>
        </w:tc>
        <w:tc>
          <w:tcPr>
            <w:tcW w:w="1269" w:type="dxa"/>
          </w:tcPr>
          <w:p w14:paraId="5385EB58" w14:textId="77777777" w:rsidR="006A629E" w:rsidRDefault="006A629E" w:rsidP="00BB641E">
            <w:pPr>
              <w:jc w:val="both"/>
            </w:pPr>
          </w:p>
        </w:tc>
      </w:tr>
    </w:tbl>
    <w:p w14:paraId="0E49D0B8" w14:textId="77777777" w:rsidR="005864C6" w:rsidRDefault="005864C6" w:rsidP="00BB641E">
      <w:pPr>
        <w:jc w:val="both"/>
      </w:pPr>
    </w:p>
    <w:p w14:paraId="5C37FBB7" w14:textId="77777777" w:rsidR="005864C6" w:rsidRDefault="005864C6" w:rsidP="00BB641E">
      <w:pPr>
        <w:jc w:val="both"/>
      </w:pPr>
    </w:p>
    <w:p w14:paraId="75FF89D6" w14:textId="77777777" w:rsidR="005864C6" w:rsidRDefault="005864C6" w:rsidP="00BB641E">
      <w:pPr>
        <w:jc w:val="both"/>
      </w:pPr>
    </w:p>
    <w:p w14:paraId="39711E99" w14:textId="5FEADD45" w:rsidR="003B3EFE" w:rsidRDefault="003B3EFE" w:rsidP="00BB641E">
      <w:pPr>
        <w:jc w:val="both"/>
      </w:pPr>
    </w:p>
    <w:sectPr w:rsidR="003B3EFE" w:rsidSect="001555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B794" w14:textId="77777777" w:rsidR="0015554B" w:rsidRDefault="0015554B" w:rsidP="0015554B">
      <w:pPr>
        <w:spacing w:after="0" w:line="240" w:lineRule="auto"/>
      </w:pPr>
      <w:r>
        <w:separator/>
      </w:r>
    </w:p>
  </w:endnote>
  <w:endnote w:type="continuationSeparator" w:id="0">
    <w:p w14:paraId="71933195" w14:textId="77777777" w:rsidR="0015554B" w:rsidRDefault="0015554B" w:rsidP="0015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15554B" w:rsidRPr="005448A7" w14:paraId="46F1022C" w14:textId="77777777" w:rsidTr="004B620A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3A373E9B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74698CCF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104BCC80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15554B" w:rsidRPr="005448A7" w14:paraId="20B25A77" w14:textId="77777777" w:rsidTr="004B620A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26ED2A40" w14:textId="77777777" w:rsidR="0015554B" w:rsidRPr="005448A7" w:rsidRDefault="0015554B" w:rsidP="0015554B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737AB20A" w14:textId="77777777" w:rsidR="0015554B" w:rsidRPr="005448A7" w:rsidRDefault="0015554B" w:rsidP="0015554B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450D0CD6" w14:textId="77777777" w:rsidR="0015554B" w:rsidRPr="005448A7" w:rsidRDefault="0015554B" w:rsidP="0015554B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5726934D" w14:textId="77777777" w:rsidR="0015554B" w:rsidRDefault="001555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15554B" w:rsidRPr="005448A7" w14:paraId="0DF4F8AF" w14:textId="77777777" w:rsidTr="004B620A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9ADD9C" w14:textId="77777777" w:rsidR="0015554B" w:rsidRPr="005448A7" w:rsidRDefault="0015554B" w:rsidP="0015554B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793484C8" w14:textId="77777777" w:rsidR="0015554B" w:rsidRPr="005448A7" w:rsidRDefault="0015554B" w:rsidP="0015554B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6ED6E810" w14:textId="77777777" w:rsidR="0015554B" w:rsidRPr="005448A7" w:rsidRDefault="0015554B" w:rsidP="0015554B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45918DF2" w14:textId="77777777" w:rsidR="0015554B" w:rsidRPr="005448A7" w:rsidRDefault="0015554B" w:rsidP="0015554B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7BFF588C" w14:textId="77777777" w:rsidR="0015554B" w:rsidRPr="005448A7" w:rsidRDefault="0015554B" w:rsidP="0015554B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15554B" w:rsidRPr="005448A7" w14:paraId="74D1E7D6" w14:textId="77777777" w:rsidTr="004B620A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09F514F0" w14:textId="77777777" w:rsidR="0015554B" w:rsidRPr="005448A7" w:rsidRDefault="0015554B" w:rsidP="0015554B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1A30F9FB" w14:textId="77777777" w:rsidR="0015554B" w:rsidRPr="005448A7" w:rsidRDefault="0015554B" w:rsidP="0015554B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63F2CDE6" w14:textId="77777777" w:rsidR="0015554B" w:rsidRPr="005448A7" w:rsidRDefault="0015554B" w:rsidP="0015554B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37B56D18" w14:textId="77777777" w:rsidR="0015554B" w:rsidRDefault="00155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E8789" w14:textId="77777777" w:rsidR="0015554B" w:rsidRDefault="0015554B" w:rsidP="0015554B">
      <w:pPr>
        <w:spacing w:after="0" w:line="240" w:lineRule="auto"/>
      </w:pPr>
      <w:r>
        <w:separator/>
      </w:r>
    </w:p>
  </w:footnote>
  <w:footnote w:type="continuationSeparator" w:id="0">
    <w:p w14:paraId="26D1761D" w14:textId="77777777" w:rsidR="0015554B" w:rsidRDefault="0015554B" w:rsidP="0015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15554B" w14:paraId="7DA7600D" w14:textId="77777777" w:rsidTr="004B620A">
      <w:trPr>
        <w:cantSplit/>
      </w:trPr>
      <w:tc>
        <w:tcPr>
          <w:tcW w:w="1276" w:type="dxa"/>
        </w:tcPr>
        <w:p w14:paraId="61CC8216" w14:textId="77777777" w:rsidR="0015554B" w:rsidRDefault="0015554B" w:rsidP="0015554B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191CDFAA" wp14:editId="03BD49DD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C6CD9" w14:textId="77777777" w:rsidR="0015554B" w:rsidRDefault="001555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15554B" w:rsidRPr="005448A7" w14:paraId="27A4D73F" w14:textId="77777777" w:rsidTr="004B620A">
      <w:trPr>
        <w:cantSplit/>
        <w:trHeight w:val="490"/>
        <w:jc w:val="center"/>
      </w:trPr>
      <w:tc>
        <w:tcPr>
          <w:tcW w:w="1510" w:type="dxa"/>
          <w:vMerge w:val="restart"/>
        </w:tcPr>
        <w:p w14:paraId="32B614BB" w14:textId="45194ECF" w:rsidR="0015554B" w:rsidRPr="005448A7" w:rsidRDefault="0015554B" w:rsidP="0015554B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619301B0" wp14:editId="5FB4AEFA">
                <wp:extent cx="846455" cy="798195"/>
                <wp:effectExtent l="0" t="0" r="0" b="0"/>
                <wp:docPr id="1840804531" name="Imagen 1840804531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0E46086D" w14:textId="77777777" w:rsidR="0015554B" w:rsidRPr="005448A7" w:rsidRDefault="0015554B" w:rsidP="0015554B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2FBE03CF" w14:textId="77777777" w:rsidR="0015554B" w:rsidRPr="005448A7" w:rsidRDefault="0015554B" w:rsidP="0015554B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15554B" w:rsidRPr="005448A7" w14:paraId="064A0AF5" w14:textId="77777777" w:rsidTr="004B620A">
      <w:trPr>
        <w:cantSplit/>
        <w:trHeight w:val="1017"/>
        <w:jc w:val="center"/>
      </w:trPr>
      <w:tc>
        <w:tcPr>
          <w:tcW w:w="1510" w:type="dxa"/>
          <w:vMerge/>
        </w:tcPr>
        <w:p w14:paraId="79E24474" w14:textId="77777777" w:rsidR="0015554B" w:rsidRPr="005448A7" w:rsidRDefault="0015554B" w:rsidP="0015554B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78691BA9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7357169B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6F0B2E05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1AF15D72" w14:textId="77777777" w:rsidR="0015554B" w:rsidRPr="005448A7" w:rsidRDefault="0015554B" w:rsidP="0015554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389A99FC" w14:textId="77777777" w:rsidR="0015554B" w:rsidRPr="005448A7" w:rsidRDefault="0015554B" w:rsidP="0015554B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1E121B89" w14:textId="77777777" w:rsidR="0015554B" w:rsidRPr="005448A7" w:rsidRDefault="0015554B" w:rsidP="0015554B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37B71915" w14:textId="77777777" w:rsidR="0015554B" w:rsidRPr="005448A7" w:rsidRDefault="0015554B" w:rsidP="0015554B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272E37DD" w14:textId="094C099C" w:rsidR="0015554B" w:rsidRDefault="00155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C15"/>
    <w:multiLevelType w:val="hybridMultilevel"/>
    <w:tmpl w:val="CE1A5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7F99"/>
    <w:multiLevelType w:val="hybridMultilevel"/>
    <w:tmpl w:val="A6AA7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550693">
    <w:abstractNumId w:val="1"/>
  </w:num>
  <w:num w:numId="2" w16cid:durableId="153730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15"/>
    <w:rsid w:val="00045C15"/>
    <w:rsid w:val="00056A94"/>
    <w:rsid w:val="0015554B"/>
    <w:rsid w:val="003B3EFE"/>
    <w:rsid w:val="004259C3"/>
    <w:rsid w:val="00430DD4"/>
    <w:rsid w:val="005502B2"/>
    <w:rsid w:val="005864C6"/>
    <w:rsid w:val="006A629E"/>
    <w:rsid w:val="00761771"/>
    <w:rsid w:val="008223D7"/>
    <w:rsid w:val="00BB641E"/>
    <w:rsid w:val="00BE7CA1"/>
    <w:rsid w:val="00C85DD1"/>
    <w:rsid w:val="00D62B6E"/>
    <w:rsid w:val="00D80E4F"/>
    <w:rsid w:val="00E80AF5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817F"/>
  <w15:chartTrackingRefBased/>
  <w15:docId w15:val="{4ABAA0E0-2478-4373-B642-ADD7E34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C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EF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3E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E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E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E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EF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8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554B"/>
  </w:style>
  <w:style w:type="paragraph" w:styleId="Piedepgina">
    <w:name w:val="footer"/>
    <w:basedOn w:val="Normal"/>
    <w:link w:val="PiedepginaCar"/>
    <w:uiPriority w:val="99"/>
    <w:unhideWhenUsed/>
    <w:rsid w:val="0015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54B"/>
  </w:style>
  <w:style w:type="table" w:customStyle="1" w:styleId="Tablaconcuadrcula1">
    <w:name w:val="Tabla con cuadrícula1"/>
    <w:basedOn w:val="Tablanormal"/>
    <w:next w:val="Tablaconcuadrcula"/>
    <w:rsid w:val="0015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2E0A0-B8EB-4B72-B063-525146482A9B}"/>
</file>

<file path=customXml/itemProps2.xml><?xml version="1.0" encoding="utf-8"?>
<ds:datastoreItem xmlns:ds="http://schemas.openxmlformats.org/officeDocument/2006/customXml" ds:itemID="{2CC3611F-8278-4E2A-B137-6F4F96F7D076}"/>
</file>

<file path=customXml/itemProps3.xml><?xml version="1.0" encoding="utf-8"?>
<ds:datastoreItem xmlns:ds="http://schemas.openxmlformats.org/officeDocument/2006/customXml" ds:itemID="{D016F111-5BBB-41C7-AF81-A94E7CE12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Mota Daniel, María Isabel</dc:creator>
  <cp:keywords/>
  <dc:description/>
  <cp:lastModifiedBy>Gómez Calvo, Maria Jose</cp:lastModifiedBy>
  <cp:revision>4</cp:revision>
  <dcterms:created xsi:type="dcterms:W3CDTF">2024-05-20T08:52:00Z</dcterms:created>
  <dcterms:modified xsi:type="dcterms:W3CDTF">2025-06-26T08:25:00Z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