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D54A" w14:textId="77777777" w:rsidR="00BE7CA1" w:rsidRPr="00C43817" w:rsidRDefault="00C43817" w:rsidP="0007653A">
      <w:pPr>
        <w:ind w:left="708" w:hanging="708"/>
        <w:jc w:val="both"/>
        <w:rPr>
          <w:b/>
        </w:rPr>
      </w:pPr>
      <w:bookmarkStart w:id="0" w:name="_Hlk201347878"/>
      <w:r w:rsidRPr="00C43817">
        <w:rPr>
          <w:b/>
        </w:rPr>
        <w:t>ANEXO V: FASE DE INFORME</w:t>
      </w:r>
    </w:p>
    <w:tbl>
      <w:tblPr>
        <w:tblStyle w:val="Tablaconcuadrcula"/>
        <w:tblW w:w="0" w:type="auto"/>
        <w:tblLook w:val="04A0" w:firstRow="1" w:lastRow="0" w:firstColumn="1" w:lastColumn="0" w:noHBand="0" w:noVBand="1"/>
      </w:tblPr>
      <w:tblGrid>
        <w:gridCol w:w="855"/>
        <w:gridCol w:w="6976"/>
      </w:tblGrid>
      <w:tr w:rsidR="00C43817" w14:paraId="7488E5B1" w14:textId="77777777" w:rsidTr="00D62FEB">
        <w:tc>
          <w:tcPr>
            <w:tcW w:w="855" w:type="dxa"/>
            <w:shd w:val="clear" w:color="auto" w:fill="F7CAAC" w:themeFill="accent2" w:themeFillTint="66"/>
          </w:tcPr>
          <w:bookmarkEnd w:id="0"/>
          <w:p w14:paraId="22015B9D" w14:textId="77777777" w:rsidR="00C43817" w:rsidRDefault="00F62C83" w:rsidP="00D11F40">
            <w:pPr>
              <w:jc w:val="both"/>
            </w:pPr>
            <w:r>
              <w:t>V</w:t>
            </w:r>
          </w:p>
        </w:tc>
        <w:tc>
          <w:tcPr>
            <w:tcW w:w="6976" w:type="dxa"/>
            <w:shd w:val="clear" w:color="auto" w:fill="F7CAAC" w:themeFill="accent2" w:themeFillTint="66"/>
          </w:tcPr>
          <w:p w14:paraId="292466CF" w14:textId="77777777" w:rsidR="00C43817" w:rsidRDefault="00C43817" w:rsidP="00D11F40">
            <w:pPr>
              <w:jc w:val="both"/>
            </w:pPr>
            <w:r>
              <w:t>REVISIÓN DE LA EMISIÓN DE LOS MEMORANDOS DE CONCLUSIONES E INFORMES</w:t>
            </w:r>
          </w:p>
        </w:tc>
      </w:tr>
      <w:tr w:rsidR="00C43817" w14:paraId="2A10F8ED" w14:textId="77777777" w:rsidTr="00D62FEB">
        <w:tc>
          <w:tcPr>
            <w:tcW w:w="855" w:type="dxa"/>
          </w:tcPr>
          <w:p w14:paraId="42E0B6FB" w14:textId="77777777" w:rsidR="00C43817" w:rsidRDefault="00C43817" w:rsidP="00D11F40">
            <w:pPr>
              <w:jc w:val="both"/>
            </w:pPr>
            <w:r>
              <w:t>1</w:t>
            </w:r>
          </w:p>
        </w:tc>
        <w:tc>
          <w:tcPr>
            <w:tcW w:w="6976" w:type="dxa"/>
          </w:tcPr>
          <w:p w14:paraId="48DF6E73" w14:textId="77777777" w:rsidR="00C43817" w:rsidRDefault="00C43817" w:rsidP="00D11F40">
            <w:pPr>
              <w:jc w:val="both"/>
            </w:pPr>
            <w:r>
              <w:t xml:space="preserve">Existe </w:t>
            </w:r>
            <w:r w:rsidR="00BA2503">
              <w:t xml:space="preserve">memorando de conclusiones </w:t>
            </w:r>
            <w:r>
              <w:t>sobre las cuentas anuales o estados financieros objeto del contrato/convenio.</w:t>
            </w:r>
          </w:p>
          <w:p w14:paraId="06D5CE80" w14:textId="77777777" w:rsidR="00E941CB" w:rsidRDefault="00E941CB" w:rsidP="00D11F40">
            <w:pPr>
              <w:jc w:val="both"/>
            </w:pPr>
          </w:p>
          <w:p w14:paraId="4869A40C" w14:textId="5375020C" w:rsidR="00E941CB" w:rsidRPr="00E941CB" w:rsidRDefault="00E941CB" w:rsidP="00D11F40">
            <w:pPr>
              <w:jc w:val="both"/>
              <w:rPr>
                <w:b/>
                <w:bCs/>
              </w:rPr>
            </w:pPr>
            <w:r w:rsidRPr="00E941CB">
              <w:rPr>
                <w:b/>
                <w:bCs/>
              </w:rPr>
              <w:t>Índice del memorando de conclusiones:</w:t>
            </w:r>
          </w:p>
          <w:p w14:paraId="77893BE9" w14:textId="77777777" w:rsidR="00E941CB" w:rsidRPr="00E941CB" w:rsidRDefault="00E941CB" w:rsidP="00E941CB">
            <w:pPr>
              <w:jc w:val="both"/>
              <w:rPr>
                <w:lang w:val="es-ES_tradnl"/>
              </w:rPr>
            </w:pPr>
            <w:r w:rsidRPr="00E941CB">
              <w:rPr>
                <w:lang w:val="es-ES_tradnl"/>
              </w:rPr>
              <w:t xml:space="preserve">Introducción Objeto y alcance </w:t>
            </w:r>
          </w:p>
          <w:p w14:paraId="66CC4CBB" w14:textId="77777777" w:rsidR="00E941CB" w:rsidRPr="00E941CB" w:rsidRDefault="00E941CB" w:rsidP="00E941CB">
            <w:pPr>
              <w:jc w:val="both"/>
              <w:rPr>
                <w:lang w:val="es-ES_tradnl"/>
              </w:rPr>
            </w:pPr>
            <w:r w:rsidRPr="00E941CB">
              <w:rPr>
                <w:lang w:val="es-ES_tradnl"/>
              </w:rPr>
              <w:t xml:space="preserve">Metodología </w:t>
            </w:r>
          </w:p>
          <w:p w14:paraId="46A8A223" w14:textId="77777777" w:rsidR="00E941CB" w:rsidRPr="00E941CB" w:rsidRDefault="00E941CB" w:rsidP="00E941CB">
            <w:pPr>
              <w:jc w:val="both"/>
              <w:rPr>
                <w:lang w:val="es-ES_tradnl"/>
              </w:rPr>
            </w:pPr>
            <w:r w:rsidRPr="00E941CB">
              <w:rPr>
                <w:lang w:val="es-ES_tradnl"/>
              </w:rPr>
              <w:t xml:space="preserve">Responsabilidad del órgano de gestión en relación con las cuentas anuales </w:t>
            </w:r>
          </w:p>
          <w:p w14:paraId="4E60EA63" w14:textId="77777777" w:rsidR="00E941CB" w:rsidRPr="00E941CB" w:rsidRDefault="00E941CB" w:rsidP="00E941CB">
            <w:pPr>
              <w:jc w:val="both"/>
              <w:rPr>
                <w:lang w:val="es-ES_tradnl"/>
              </w:rPr>
            </w:pPr>
            <w:r w:rsidRPr="00E941CB">
              <w:rPr>
                <w:lang w:val="es-ES_tradnl"/>
              </w:rPr>
              <w:t xml:space="preserve">Responsabilidad del auditor público </w:t>
            </w:r>
          </w:p>
          <w:p w14:paraId="770CB15A" w14:textId="77777777" w:rsidR="00E941CB" w:rsidRPr="00E941CB" w:rsidRDefault="00E941CB" w:rsidP="00E941CB">
            <w:pPr>
              <w:jc w:val="both"/>
              <w:rPr>
                <w:lang w:val="es-ES_tradnl"/>
              </w:rPr>
            </w:pPr>
            <w:r w:rsidRPr="00E941CB">
              <w:rPr>
                <w:lang w:val="es-ES_tradnl"/>
              </w:rPr>
              <w:t xml:space="preserve">Análisis de la cuenta general. Defectos y anomalías observadas. </w:t>
            </w:r>
          </w:p>
          <w:p w14:paraId="3CFCBE49" w14:textId="77777777" w:rsidR="00E941CB" w:rsidRPr="00E941CB" w:rsidRDefault="00E941CB" w:rsidP="00E941CB">
            <w:pPr>
              <w:jc w:val="both"/>
              <w:rPr>
                <w:lang w:val="es-ES_tradnl"/>
              </w:rPr>
            </w:pPr>
            <w:r w:rsidRPr="00E941CB">
              <w:rPr>
                <w:lang w:val="es-ES_tradnl"/>
              </w:rPr>
              <w:t xml:space="preserve">(Incluir un punto por cada área de trabajo) </w:t>
            </w:r>
          </w:p>
          <w:p w14:paraId="471CC246" w14:textId="77777777" w:rsidR="00E941CB" w:rsidRPr="00E941CB" w:rsidRDefault="00E941CB" w:rsidP="00E941CB">
            <w:pPr>
              <w:jc w:val="both"/>
              <w:rPr>
                <w:lang w:val="es-ES_tradnl"/>
              </w:rPr>
            </w:pPr>
            <w:r w:rsidRPr="00E941CB">
              <w:rPr>
                <w:lang w:val="es-ES_tradnl"/>
              </w:rPr>
              <w:t xml:space="preserve">4.1 Gastos de personal </w:t>
            </w:r>
          </w:p>
          <w:p w14:paraId="3555C368" w14:textId="77777777" w:rsidR="00E941CB" w:rsidRPr="00E941CB" w:rsidRDefault="00E941CB" w:rsidP="00E941CB">
            <w:pPr>
              <w:jc w:val="both"/>
              <w:rPr>
                <w:lang w:val="es-ES_tradnl"/>
              </w:rPr>
            </w:pPr>
            <w:r w:rsidRPr="00E941CB">
              <w:rPr>
                <w:lang w:val="es-ES_tradnl"/>
              </w:rPr>
              <w:t xml:space="preserve">4.2. Gastos en bienes corrientes y servicios….. </w:t>
            </w:r>
          </w:p>
          <w:p w14:paraId="36364DAA" w14:textId="77777777" w:rsidR="00E941CB" w:rsidRPr="00E941CB" w:rsidRDefault="00E941CB" w:rsidP="00E941CB">
            <w:pPr>
              <w:numPr>
                <w:ilvl w:val="0"/>
                <w:numId w:val="12"/>
              </w:numPr>
              <w:jc w:val="both"/>
              <w:rPr>
                <w:lang w:val="es-ES_tradnl"/>
              </w:rPr>
            </w:pPr>
            <w:r w:rsidRPr="00E941CB">
              <w:rPr>
                <w:lang w:val="es-ES_tradnl"/>
              </w:rPr>
              <w:t xml:space="preserve">Conclusiones </w:t>
            </w:r>
          </w:p>
          <w:p w14:paraId="5C4E4747" w14:textId="77777777" w:rsidR="00E941CB" w:rsidRPr="00E941CB" w:rsidRDefault="00E941CB" w:rsidP="00E941CB">
            <w:pPr>
              <w:pStyle w:val="Prrafodelista"/>
              <w:jc w:val="both"/>
              <w:rPr>
                <w:lang w:val="es-ES_tradnl"/>
              </w:rPr>
            </w:pPr>
            <w:r w:rsidRPr="00E941CB">
              <w:rPr>
                <w:lang w:val="es-ES_tradnl"/>
              </w:rPr>
              <w:t xml:space="preserve">(Incluir un punto por cada área de trabajo) </w:t>
            </w:r>
          </w:p>
          <w:p w14:paraId="42114470" w14:textId="77777777" w:rsidR="00E941CB" w:rsidRPr="00E941CB" w:rsidRDefault="00E941CB" w:rsidP="00E941CB">
            <w:pPr>
              <w:numPr>
                <w:ilvl w:val="0"/>
                <w:numId w:val="12"/>
              </w:numPr>
              <w:jc w:val="both"/>
              <w:rPr>
                <w:lang w:val="es-ES_tradnl"/>
              </w:rPr>
            </w:pPr>
            <w:r w:rsidRPr="00E941CB">
              <w:rPr>
                <w:lang w:val="es-ES_tradnl"/>
              </w:rPr>
              <w:t xml:space="preserve">Recomendaciones y medidas a adoptar para la solución de deficiencias </w:t>
            </w:r>
          </w:p>
          <w:p w14:paraId="2B7B47C4" w14:textId="77777777" w:rsidR="00E941CB" w:rsidRPr="00E941CB" w:rsidRDefault="00E941CB" w:rsidP="00E941CB">
            <w:pPr>
              <w:pStyle w:val="Prrafodelista"/>
              <w:jc w:val="both"/>
              <w:rPr>
                <w:lang w:val="es-ES_tradnl"/>
              </w:rPr>
            </w:pPr>
            <w:r w:rsidRPr="00E941CB">
              <w:rPr>
                <w:lang w:val="es-ES_tradnl"/>
              </w:rPr>
              <w:t xml:space="preserve">(Incluir un punto por cada área de trabajo) </w:t>
            </w:r>
          </w:p>
          <w:p w14:paraId="337D0431" w14:textId="77777777" w:rsidR="00E941CB" w:rsidRPr="00E941CB" w:rsidRDefault="00E941CB" w:rsidP="00E941CB">
            <w:pPr>
              <w:numPr>
                <w:ilvl w:val="0"/>
                <w:numId w:val="12"/>
              </w:numPr>
              <w:jc w:val="both"/>
              <w:rPr>
                <w:lang w:val="es-ES_tradnl"/>
              </w:rPr>
            </w:pPr>
            <w:r w:rsidRPr="00E941CB">
              <w:rPr>
                <w:lang w:val="es-ES_tradnl"/>
              </w:rPr>
              <w:t xml:space="preserve">Responsabilidades relacionadas con fraude </w:t>
            </w:r>
          </w:p>
          <w:p w14:paraId="41D88271" w14:textId="374D9611" w:rsidR="00E941CB" w:rsidRDefault="00E941CB" w:rsidP="00D11F40">
            <w:pPr>
              <w:jc w:val="both"/>
            </w:pPr>
          </w:p>
        </w:tc>
      </w:tr>
      <w:tr w:rsidR="00C43817" w14:paraId="4E0ABF16" w14:textId="77777777" w:rsidTr="00D62FEB">
        <w:tc>
          <w:tcPr>
            <w:tcW w:w="855" w:type="dxa"/>
          </w:tcPr>
          <w:p w14:paraId="682A67B3" w14:textId="77777777" w:rsidR="00C43817" w:rsidRDefault="00C43817" w:rsidP="00D11F40">
            <w:pPr>
              <w:jc w:val="both"/>
            </w:pPr>
            <w:r>
              <w:t>2</w:t>
            </w:r>
          </w:p>
        </w:tc>
        <w:tc>
          <w:tcPr>
            <w:tcW w:w="6976" w:type="dxa"/>
          </w:tcPr>
          <w:p w14:paraId="3DD9226F" w14:textId="54481913" w:rsidR="00C43817" w:rsidRDefault="00C43817" w:rsidP="00D11F40">
            <w:pPr>
              <w:jc w:val="both"/>
            </w:pPr>
            <w:r>
              <w:t xml:space="preserve">Que el memorando ha sido remitido al </w:t>
            </w:r>
            <w:r w:rsidR="008942F5">
              <w:t>órgano interventor de la entidad local</w:t>
            </w:r>
            <w:r>
              <w:t>.</w:t>
            </w:r>
          </w:p>
        </w:tc>
      </w:tr>
      <w:tr w:rsidR="00C43817" w14:paraId="5881BBF8" w14:textId="77777777" w:rsidTr="00D62FEB">
        <w:tc>
          <w:tcPr>
            <w:tcW w:w="855" w:type="dxa"/>
          </w:tcPr>
          <w:p w14:paraId="0D5182C4" w14:textId="77777777" w:rsidR="00C43817" w:rsidRDefault="00C43817" w:rsidP="00D11F40">
            <w:pPr>
              <w:jc w:val="both"/>
            </w:pPr>
            <w:r>
              <w:t>3</w:t>
            </w:r>
          </w:p>
        </w:tc>
        <w:tc>
          <w:tcPr>
            <w:tcW w:w="6976" w:type="dxa"/>
          </w:tcPr>
          <w:p w14:paraId="0B124F88" w14:textId="5E009148" w:rsidR="00C43817" w:rsidRDefault="00C43817" w:rsidP="00D11F40">
            <w:pPr>
              <w:jc w:val="both"/>
            </w:pPr>
            <w:r>
              <w:t xml:space="preserve">Que hace mención </w:t>
            </w:r>
            <w:proofErr w:type="gramStart"/>
            <w:r>
              <w:t>a</w:t>
            </w:r>
            <w:proofErr w:type="gramEnd"/>
            <w:r>
              <w:t xml:space="preserve"> las salvedades y otros hechos o circunstancias relevantes que, a juicio del auditor colaborador, deben ser reflejadas en el informe de auditoría correspondiente</w:t>
            </w:r>
            <w:r w:rsidR="00BA2503" w:rsidRPr="000B48DA">
              <w:t xml:space="preserve"> y, en su caso, en el informe de recomendaciones de control interno e informe adicional al de auditoría de cuentas (IRCIA)</w:t>
            </w:r>
            <w:r>
              <w:t>.</w:t>
            </w:r>
          </w:p>
        </w:tc>
      </w:tr>
      <w:tr w:rsidR="00C43817" w14:paraId="13C50A70" w14:textId="77777777" w:rsidTr="00D62FEB">
        <w:tc>
          <w:tcPr>
            <w:tcW w:w="855" w:type="dxa"/>
          </w:tcPr>
          <w:p w14:paraId="0414EF57" w14:textId="77777777" w:rsidR="00C43817" w:rsidRDefault="00C43817" w:rsidP="00D11F40">
            <w:pPr>
              <w:jc w:val="both"/>
            </w:pPr>
            <w:r>
              <w:t>4</w:t>
            </w:r>
          </w:p>
        </w:tc>
        <w:tc>
          <w:tcPr>
            <w:tcW w:w="6976" w:type="dxa"/>
          </w:tcPr>
          <w:p w14:paraId="322E92B4" w14:textId="77777777" w:rsidR="00C43817" w:rsidRDefault="00C43817" w:rsidP="00D11F40">
            <w:pPr>
              <w:jc w:val="both"/>
            </w:pPr>
            <w:r>
              <w:t>Que el memorando incluye una propuesta de informe y que se ajusta en cuanto a su estructura y contenido a las normas técnicas, notas técnicas e instrucciones que en materia de informes se dicten en su desarrollo.</w:t>
            </w:r>
          </w:p>
          <w:p w14:paraId="3FBEE2C6" w14:textId="77777777" w:rsidR="00C43817" w:rsidRDefault="00C43817" w:rsidP="00D11F40">
            <w:pPr>
              <w:jc w:val="both"/>
            </w:pPr>
            <w:r>
              <w:t>A estos efectos, la propuesta de informe de auditoría de cuentas se realizará de acuerdo con:</w:t>
            </w:r>
          </w:p>
          <w:p w14:paraId="190EA88A" w14:textId="77777777" w:rsidR="00C43817" w:rsidRDefault="00C43817" w:rsidP="00D11F40">
            <w:pPr>
              <w:pStyle w:val="Prrafodelista"/>
              <w:numPr>
                <w:ilvl w:val="0"/>
                <w:numId w:val="1"/>
              </w:numPr>
              <w:jc w:val="both"/>
            </w:pPr>
            <w:r>
              <w:t xml:space="preserve">Las NIA-ES-SP, según la Resolución de la Intervención General de la Administración del Estado, por la que se aprueba la adaptación de las Normas de Auditoría del Sector Público a las Normas Internacionales de Auditoría, de 25 de octubre de 2019 (NIA-ES-SP). </w:t>
            </w:r>
            <w:r w:rsidR="00583637">
              <w:t>En particular las NIA-ES-SP del grupo 1700.</w:t>
            </w:r>
          </w:p>
          <w:p w14:paraId="62646B1B" w14:textId="77777777" w:rsidR="00C43817" w:rsidRDefault="00C43817" w:rsidP="00D11F40">
            <w:pPr>
              <w:pStyle w:val="Prrafodelista"/>
              <w:numPr>
                <w:ilvl w:val="0"/>
                <w:numId w:val="1"/>
              </w:numPr>
              <w:jc w:val="both"/>
            </w:pPr>
            <w:r>
              <w:t>Nota Técnica de la Oficina Nacional de Auditoría 1/2020, sobre la estructura y contenido de los párrafos del informe de auditoría de cuentas según las Normas Internacionales de Auditoría adaptadas al Sector Público Español (NIA-ES-SP)</w:t>
            </w:r>
            <w:r w:rsidR="00583637">
              <w:t xml:space="preserve">, parcialmente modificada por las Notas 3/2020, </w:t>
            </w:r>
            <w:r w:rsidR="00583637" w:rsidRPr="00583637">
              <w:t>2/2021</w:t>
            </w:r>
            <w:r w:rsidR="00583637">
              <w:t xml:space="preserve"> y 1/2022, referidas a tratamientos de los </w:t>
            </w:r>
            <w:r w:rsidR="00583637">
              <w:lastRenderedPageBreak/>
              <w:t>incumplimientos de la legalidad, a cuestiones clave de la auditoría y a la Otra información.</w:t>
            </w:r>
          </w:p>
          <w:p w14:paraId="416DD4C2" w14:textId="77777777" w:rsidR="00C43817" w:rsidRDefault="00C43817" w:rsidP="00D11F40">
            <w:pPr>
              <w:pStyle w:val="Prrafodelista"/>
              <w:numPr>
                <w:ilvl w:val="0"/>
                <w:numId w:val="1"/>
              </w:numPr>
              <w:jc w:val="both"/>
            </w:pPr>
            <w:r>
              <w:t>Nota Técnica de la Oficina Nacional de Auditoría 2/2020 sobre emisión de los informes provisional y definitivo de auditoría de cuentas anuales</w:t>
            </w:r>
          </w:p>
          <w:p w14:paraId="2D87EA2C" w14:textId="77777777" w:rsidR="00C43817" w:rsidRDefault="00C43817" w:rsidP="00D11F40">
            <w:pPr>
              <w:pStyle w:val="Prrafodelista"/>
              <w:numPr>
                <w:ilvl w:val="0"/>
                <w:numId w:val="1"/>
              </w:numPr>
              <w:jc w:val="both"/>
            </w:pPr>
            <w:r>
              <w:t xml:space="preserve"> Nota Técnica de la Oficina Nacional de Auditoría 1/2020, sobre la estructura y contenido de los párrafos del informe de auditoría de cuentas según las Normas Internacionales de Auditoría adaptadas al Sector Público Español (NIA-ES-SP)</w:t>
            </w:r>
          </w:p>
          <w:p w14:paraId="522F6FB4" w14:textId="77777777" w:rsidR="00583637" w:rsidRDefault="00583637" w:rsidP="00D11F40">
            <w:pPr>
              <w:pStyle w:val="Prrafodelista"/>
              <w:numPr>
                <w:ilvl w:val="0"/>
                <w:numId w:val="1"/>
              </w:numPr>
              <w:jc w:val="both"/>
            </w:pPr>
            <w:r w:rsidRPr="00583637">
              <w:t>Nota Técnica de la Oficina Nacional de Auditoría 2/2021 Sobre cuestiones clave de la auditoría de cuentas</w:t>
            </w:r>
          </w:p>
          <w:p w14:paraId="00DD1E71" w14:textId="77777777" w:rsidR="00C43817" w:rsidRDefault="00C43817" w:rsidP="00D11F40">
            <w:pPr>
              <w:pStyle w:val="Prrafodelista"/>
              <w:numPr>
                <w:ilvl w:val="0"/>
                <w:numId w:val="1"/>
              </w:numPr>
              <w:jc w:val="both"/>
            </w:pPr>
            <w:r w:rsidRPr="00D739A2">
              <w:t>Nota Técnica de la Oficina Nacional de Auditoría 1/2022 sobre la otra información basada en las Normas Internacionales de Auditoría adaptadas al Sector Público Español (NIA-ES-SP)”.</w:t>
            </w:r>
            <w:r>
              <w:t xml:space="preserve"> </w:t>
            </w:r>
          </w:p>
          <w:p w14:paraId="3DE5848E" w14:textId="77777777" w:rsidR="00C43817" w:rsidRDefault="00C43817" w:rsidP="00D11F40">
            <w:pPr>
              <w:pStyle w:val="Prrafodelista"/>
              <w:numPr>
                <w:ilvl w:val="0"/>
                <w:numId w:val="1"/>
              </w:numPr>
              <w:jc w:val="both"/>
            </w:pPr>
            <w:r w:rsidRPr="00D739A2">
              <w:t>Nota Técnica de la Oficina Nacional de Auditoría 3/2020 sobre el tratamiento en la auditoría de cuentas de los incumplimientos de la legalidad.</w:t>
            </w:r>
          </w:p>
          <w:p w14:paraId="291B1B92" w14:textId="77777777" w:rsidR="00C43817" w:rsidRDefault="00C43817" w:rsidP="00D11F40">
            <w:pPr>
              <w:jc w:val="both"/>
            </w:pPr>
          </w:p>
          <w:p w14:paraId="0FFD8922" w14:textId="77777777" w:rsidR="00C43817" w:rsidRDefault="00C43817" w:rsidP="00D11F40">
            <w:pPr>
              <w:jc w:val="both"/>
            </w:pPr>
            <w:r>
              <w:t>La propuesta de informe de auditoría de cuentas tendrá la siguiente estructura, de acuerdo con las NIA-ES-SP:</w:t>
            </w:r>
          </w:p>
          <w:p w14:paraId="0C828FB5" w14:textId="77777777" w:rsidR="00C43817" w:rsidRDefault="00C43817" w:rsidP="00D11F40">
            <w:pPr>
              <w:jc w:val="both"/>
            </w:pPr>
          </w:p>
          <w:p w14:paraId="07CFC8A2" w14:textId="77777777" w:rsidR="00C43817" w:rsidRPr="00121B64" w:rsidRDefault="00C43817" w:rsidP="00D11F40">
            <w:pPr>
              <w:pStyle w:val="Prrafodelista"/>
              <w:numPr>
                <w:ilvl w:val="0"/>
                <w:numId w:val="2"/>
              </w:numPr>
              <w:jc w:val="both"/>
            </w:pPr>
            <w:r>
              <w:t>Sección de opinión.</w:t>
            </w:r>
          </w:p>
          <w:p w14:paraId="495092F7" w14:textId="77777777" w:rsidR="00C43817" w:rsidRDefault="00C43817" w:rsidP="00D11F40">
            <w:pPr>
              <w:pStyle w:val="Prrafodelista"/>
              <w:numPr>
                <w:ilvl w:val="0"/>
                <w:numId w:val="2"/>
              </w:numPr>
              <w:jc w:val="both"/>
            </w:pPr>
            <w:r w:rsidRPr="00121B64">
              <w:t>Sección de fundamento de la opinión</w:t>
            </w:r>
            <w:r>
              <w:t>.</w:t>
            </w:r>
            <w:r w:rsidRPr="00121B64">
              <w:t xml:space="preserve"> </w:t>
            </w:r>
          </w:p>
          <w:p w14:paraId="3322FCB3" w14:textId="77777777" w:rsidR="00C43817" w:rsidRDefault="00C43817" w:rsidP="00D11F40">
            <w:pPr>
              <w:pStyle w:val="Prrafodelista"/>
              <w:numPr>
                <w:ilvl w:val="0"/>
                <w:numId w:val="2"/>
              </w:numPr>
              <w:jc w:val="both"/>
            </w:pPr>
            <w:r w:rsidRPr="00121B64">
              <w:t>Sección de incertidumb</w:t>
            </w:r>
            <w:r>
              <w:t>re material relacionada con la e</w:t>
            </w:r>
            <w:r w:rsidRPr="00121B64">
              <w:t xml:space="preserve">mpresa </w:t>
            </w:r>
            <w:proofErr w:type="gramStart"/>
            <w:r w:rsidRPr="00121B64">
              <w:t>e</w:t>
            </w:r>
            <w:proofErr w:type="gramEnd"/>
            <w:r w:rsidRPr="00121B64">
              <w:t xml:space="preserve"> funcionamiento</w:t>
            </w:r>
            <w:r>
              <w:t xml:space="preserve"> </w:t>
            </w:r>
            <w:r w:rsidRPr="00121B64">
              <w:t>(</w:t>
            </w:r>
            <w:r>
              <w:t>cuando proceda</w:t>
            </w:r>
            <w:r w:rsidRPr="00121B64">
              <w:t>).</w:t>
            </w:r>
          </w:p>
          <w:p w14:paraId="6045393D" w14:textId="77777777" w:rsidR="00C43817" w:rsidRPr="00121B64" w:rsidRDefault="00C43817" w:rsidP="00D11F40">
            <w:pPr>
              <w:pStyle w:val="Prrafodelista"/>
              <w:numPr>
                <w:ilvl w:val="0"/>
                <w:numId w:val="2"/>
              </w:numPr>
              <w:jc w:val="both"/>
            </w:pPr>
            <w:r w:rsidRPr="00121B64">
              <w:t>Cuestiones claves de la auditoría (</w:t>
            </w:r>
            <w:r>
              <w:t>sección obligatoria en todo caso).</w:t>
            </w:r>
          </w:p>
          <w:p w14:paraId="5AB1CDAC" w14:textId="77777777" w:rsidR="00C43817" w:rsidRPr="00121B64" w:rsidRDefault="00C43817" w:rsidP="00D11F40">
            <w:pPr>
              <w:pStyle w:val="Prrafodelista"/>
              <w:numPr>
                <w:ilvl w:val="0"/>
                <w:numId w:val="2"/>
              </w:numPr>
              <w:jc w:val="both"/>
            </w:pPr>
            <w:r w:rsidRPr="00121B64">
              <w:t>Párrafo de énfasis (</w:t>
            </w:r>
            <w:r>
              <w:t>cuando proceda</w:t>
            </w:r>
            <w:r w:rsidRPr="00121B64">
              <w:t>)</w:t>
            </w:r>
            <w:r>
              <w:t>.</w:t>
            </w:r>
          </w:p>
          <w:p w14:paraId="722C2AA1" w14:textId="77777777" w:rsidR="00C43817" w:rsidRPr="00121B64" w:rsidRDefault="00C43817" w:rsidP="00D11F40">
            <w:pPr>
              <w:pStyle w:val="Prrafodelista"/>
              <w:numPr>
                <w:ilvl w:val="0"/>
                <w:numId w:val="2"/>
              </w:numPr>
              <w:jc w:val="both"/>
            </w:pPr>
            <w:r w:rsidRPr="00121B64">
              <w:t>Párrafo de Otras cuestiones (</w:t>
            </w:r>
            <w:r>
              <w:t>cuando proceda).</w:t>
            </w:r>
          </w:p>
          <w:p w14:paraId="236C58F4" w14:textId="41DC383D" w:rsidR="00C43817" w:rsidRDefault="00C43817" w:rsidP="00D11F40">
            <w:pPr>
              <w:pStyle w:val="Prrafodelista"/>
              <w:numPr>
                <w:ilvl w:val="0"/>
                <w:numId w:val="2"/>
              </w:numPr>
              <w:jc w:val="both"/>
            </w:pPr>
            <w:r w:rsidRPr="00121B64">
              <w:t>Sección de Otra información</w:t>
            </w:r>
            <w:r w:rsidR="008942F5">
              <w:t xml:space="preserve"> </w:t>
            </w:r>
            <w:r w:rsidR="00583637">
              <w:t>(cuando exista esa otra información)</w:t>
            </w:r>
          </w:p>
          <w:p w14:paraId="0E9D42DD" w14:textId="77777777" w:rsidR="00C43817" w:rsidRPr="00121B64" w:rsidRDefault="00C43817" w:rsidP="00D11F40">
            <w:pPr>
              <w:pStyle w:val="Prrafodelista"/>
              <w:numPr>
                <w:ilvl w:val="0"/>
                <w:numId w:val="2"/>
              </w:numPr>
              <w:jc w:val="both"/>
            </w:pPr>
            <w:r w:rsidRPr="00121B64">
              <w:t>Sección de Respons</w:t>
            </w:r>
            <w:r>
              <w:t>abilidad de los administradores.</w:t>
            </w:r>
            <w:r w:rsidR="00583637">
              <w:t xml:space="preserve"> </w:t>
            </w:r>
          </w:p>
          <w:p w14:paraId="421AD0EE" w14:textId="77777777" w:rsidR="00C43817" w:rsidRPr="00121B64" w:rsidRDefault="00C43817" w:rsidP="00D11F40">
            <w:pPr>
              <w:pStyle w:val="Prrafodelista"/>
              <w:numPr>
                <w:ilvl w:val="0"/>
                <w:numId w:val="2"/>
              </w:numPr>
              <w:jc w:val="both"/>
            </w:pPr>
            <w:r w:rsidRPr="00121B64">
              <w:t xml:space="preserve">Sección de Responsabilidad del </w:t>
            </w:r>
            <w:r>
              <w:t>auditor.</w:t>
            </w:r>
          </w:p>
          <w:p w14:paraId="30447B51" w14:textId="77777777" w:rsidR="00C43817" w:rsidRDefault="00C43817" w:rsidP="00D11F40">
            <w:pPr>
              <w:pStyle w:val="Prrafodelista"/>
              <w:numPr>
                <w:ilvl w:val="0"/>
                <w:numId w:val="2"/>
              </w:numPr>
              <w:jc w:val="both"/>
            </w:pPr>
            <w:r w:rsidRPr="00121B64">
              <w:t>Sección de</w:t>
            </w:r>
            <w:r w:rsidR="00583637">
              <w:t xml:space="preserve"> Informe sobre r</w:t>
            </w:r>
            <w:r w:rsidRPr="00121B64">
              <w:t>equerimientos legales y reglamentarios (</w:t>
            </w:r>
            <w:r>
              <w:t>cuando proceda</w:t>
            </w:r>
            <w:r w:rsidRPr="00121B64">
              <w:t>)</w:t>
            </w:r>
            <w:r>
              <w:t>.</w:t>
            </w:r>
          </w:p>
          <w:p w14:paraId="493E1E11" w14:textId="77777777" w:rsidR="00BA2503" w:rsidRDefault="00BA2503" w:rsidP="00BA2503">
            <w:pPr>
              <w:jc w:val="both"/>
            </w:pPr>
          </w:p>
          <w:p w14:paraId="2D1DC983" w14:textId="77777777" w:rsidR="00BA2503" w:rsidRDefault="00BA2503" w:rsidP="00BA2503">
            <w:pPr>
              <w:jc w:val="both"/>
            </w:pPr>
            <w:r w:rsidRPr="00336477">
              <w:t xml:space="preserve">No obstante, no se elaborará e incluirá informe de auditoría cuando se trate de una auditoría parcial y en el contrato de servicios no se mencione que este se realice, aunque sí se elaborará el memorando. </w:t>
            </w:r>
          </w:p>
          <w:p w14:paraId="19CE2097" w14:textId="77777777" w:rsidR="00BA2503" w:rsidRDefault="00BA2503" w:rsidP="00BA2503">
            <w:pPr>
              <w:jc w:val="both"/>
            </w:pPr>
          </w:p>
        </w:tc>
      </w:tr>
      <w:tr w:rsidR="00C43817" w14:paraId="42E7D514" w14:textId="77777777" w:rsidTr="00D62FEB">
        <w:tc>
          <w:tcPr>
            <w:tcW w:w="855" w:type="dxa"/>
          </w:tcPr>
          <w:p w14:paraId="092E2C67" w14:textId="77777777" w:rsidR="00C43817" w:rsidRDefault="00C43817" w:rsidP="00D11F40">
            <w:pPr>
              <w:jc w:val="both"/>
            </w:pPr>
            <w:r>
              <w:lastRenderedPageBreak/>
              <w:t>5</w:t>
            </w:r>
          </w:p>
        </w:tc>
        <w:tc>
          <w:tcPr>
            <w:tcW w:w="6976" w:type="dxa"/>
          </w:tcPr>
          <w:p w14:paraId="4B6A2A5B" w14:textId="0CCA882C" w:rsidR="00C43817" w:rsidRDefault="00C43817" w:rsidP="00D11F40">
            <w:pPr>
              <w:jc w:val="both"/>
            </w:pPr>
            <w:r>
              <w:t xml:space="preserve">Cuando en virtud de lo previsto en las NIA-ES-SP y normas y notas técnicas de informes de auditoría de cuentas, así como en el IRCIA, </w:t>
            </w:r>
            <w:r w:rsidR="008942F5">
              <w:t xml:space="preserve">y de acuerdo con el contrato o instrumento jurídico correspondiente, </w:t>
            </w:r>
            <w:r>
              <w:t xml:space="preserve">el </w:t>
            </w:r>
            <w:r w:rsidR="00583637">
              <w:t>órgano</w:t>
            </w:r>
            <w:r w:rsidR="00812CE9">
              <w:t xml:space="preserve"> interventor de la </w:t>
            </w:r>
            <w:r w:rsidR="008942F5">
              <w:t>e</w:t>
            </w:r>
            <w:r w:rsidR="00812CE9">
              <w:t xml:space="preserve">ntidad </w:t>
            </w:r>
            <w:r w:rsidR="008942F5">
              <w:t>l</w:t>
            </w:r>
            <w:r w:rsidR="00812CE9">
              <w:t>ocal</w:t>
            </w:r>
            <w:r>
              <w:t xml:space="preserve">, considere conveniente extender el objeto de la auditoría de cuentas anuales (u otros estados financieros, según proceda) a otros aspectos de la gestión de la entidad auditada, el auditor colaborador deberá facilitar un memorando en el que expondrá sus conclusiones sobre los trabajos complementarios realizados, de acuerdo con las estipulaciones del contrato. Dicho memorando deberá ajustarse, en cuanto a su estructura y contenido, a los modelos que al efecto pueda </w:t>
            </w:r>
            <w:r w:rsidR="00B6668D">
              <w:t>establecer el</w:t>
            </w:r>
            <w:r w:rsidR="00583637">
              <w:t xml:space="preserve"> órgano</w:t>
            </w:r>
            <w:r w:rsidR="00812CE9">
              <w:t xml:space="preserve"> interventor de la</w:t>
            </w:r>
            <w:r w:rsidR="004C7CA3">
              <w:t xml:space="preserve"> entidad local</w:t>
            </w:r>
            <w:r>
              <w:t>.</w:t>
            </w:r>
          </w:p>
        </w:tc>
      </w:tr>
      <w:tr w:rsidR="00C43817" w14:paraId="21A6621D" w14:textId="77777777" w:rsidTr="00D62FEB">
        <w:tc>
          <w:tcPr>
            <w:tcW w:w="855" w:type="dxa"/>
          </w:tcPr>
          <w:p w14:paraId="52E628F2" w14:textId="77777777" w:rsidR="00C43817" w:rsidRDefault="00C43817" w:rsidP="00D11F40">
            <w:pPr>
              <w:jc w:val="both"/>
            </w:pPr>
            <w:r>
              <w:lastRenderedPageBreak/>
              <w:t>6</w:t>
            </w:r>
          </w:p>
        </w:tc>
        <w:tc>
          <w:tcPr>
            <w:tcW w:w="6976" w:type="dxa"/>
          </w:tcPr>
          <w:p w14:paraId="62BDAD18" w14:textId="4B4C1029" w:rsidR="00C43817" w:rsidRDefault="00C43817" w:rsidP="00D11F40">
            <w:pPr>
              <w:jc w:val="both"/>
            </w:pPr>
            <w:r>
              <w:t>Los memorandos están firmados por el auditor colaborador.</w:t>
            </w:r>
          </w:p>
        </w:tc>
      </w:tr>
      <w:tr w:rsidR="00C43817" w14:paraId="450BBA6D" w14:textId="77777777" w:rsidTr="00D62FEB">
        <w:tc>
          <w:tcPr>
            <w:tcW w:w="855" w:type="dxa"/>
          </w:tcPr>
          <w:p w14:paraId="070EB7B3" w14:textId="77777777" w:rsidR="00C43817" w:rsidRDefault="00C43817" w:rsidP="00D11F40">
            <w:pPr>
              <w:jc w:val="both"/>
            </w:pPr>
            <w:r>
              <w:t>7</w:t>
            </w:r>
          </w:p>
        </w:tc>
        <w:tc>
          <w:tcPr>
            <w:tcW w:w="6976" w:type="dxa"/>
          </w:tcPr>
          <w:p w14:paraId="5AA9F43D" w14:textId="27436E4F" w:rsidR="00C43817" w:rsidRDefault="00C43817" w:rsidP="00D11F40">
            <w:pPr>
              <w:jc w:val="both"/>
            </w:pPr>
            <w:r>
              <w:t>En el caso de que el auditor</w:t>
            </w:r>
            <w:r w:rsidR="00812CE9">
              <w:t xml:space="preserve"> colaborador</w:t>
            </w:r>
            <w:r>
              <w:t xml:space="preserve"> deba emitir informes como consecuencia de mejoras técnicas incluidas en su oferta</w:t>
            </w:r>
            <w:r w:rsidR="004C7CA3">
              <w:t xml:space="preserve"> no previstos en las NIA-ES-SP ni en las normas técnicas de auditoría pública</w:t>
            </w:r>
            <w:r>
              <w:t>, los informes elaborados serán firmados exclusivamente por el auditor</w:t>
            </w:r>
            <w:r w:rsidR="00812CE9">
              <w:t xml:space="preserve"> colaborador</w:t>
            </w:r>
            <w:r>
              <w:t>.</w:t>
            </w:r>
          </w:p>
        </w:tc>
      </w:tr>
      <w:tr w:rsidR="00C43817" w14:paraId="7F2587C6" w14:textId="77777777" w:rsidTr="00D62FEB">
        <w:tc>
          <w:tcPr>
            <w:tcW w:w="855" w:type="dxa"/>
          </w:tcPr>
          <w:p w14:paraId="6DFBC182" w14:textId="77777777" w:rsidR="00C43817" w:rsidRDefault="00C43817" w:rsidP="00D11F40">
            <w:pPr>
              <w:jc w:val="both"/>
            </w:pPr>
            <w:r>
              <w:t>8</w:t>
            </w:r>
          </w:p>
        </w:tc>
        <w:tc>
          <w:tcPr>
            <w:tcW w:w="6976" w:type="dxa"/>
          </w:tcPr>
          <w:p w14:paraId="6E3B973A" w14:textId="77777777" w:rsidR="00C43817" w:rsidRDefault="00C43817" w:rsidP="00D11F40">
            <w:pPr>
              <w:jc w:val="both"/>
            </w:pPr>
            <w:r>
              <w:t>La propuesta de informe, así como los informes provisionales y definitivos, resultado final del trabajo efectuado, expresan una opinión coherente en relación con las conclusiones obtenidas en el trabajo realizado y con el memorando de conclusiones aceptado por el responsable de la auditoría.</w:t>
            </w:r>
          </w:p>
        </w:tc>
      </w:tr>
      <w:tr w:rsidR="00C43817" w14:paraId="35982690" w14:textId="77777777" w:rsidTr="00D62FEB">
        <w:tc>
          <w:tcPr>
            <w:tcW w:w="855" w:type="dxa"/>
          </w:tcPr>
          <w:p w14:paraId="5DD6B2EF" w14:textId="77777777" w:rsidR="00C43817" w:rsidRDefault="00C43817" w:rsidP="00D11F40">
            <w:pPr>
              <w:jc w:val="both"/>
            </w:pPr>
            <w:r>
              <w:t>9</w:t>
            </w:r>
          </w:p>
        </w:tc>
        <w:tc>
          <w:tcPr>
            <w:tcW w:w="6976" w:type="dxa"/>
          </w:tcPr>
          <w:p w14:paraId="109B6C58" w14:textId="77777777" w:rsidR="00C43817" w:rsidRDefault="00C43817" w:rsidP="00D11F40">
            <w:pPr>
              <w:jc w:val="both"/>
            </w:pPr>
            <w:r>
              <w:t>Los informes se ajustan en su elaboración, estructura y contenido a las NIA-ES-SP y demás normas técnicas, notas técnicas o cualquiera otra normativa de desarrollo emitidas por la IGAE para la auditoría de cuentas.</w:t>
            </w:r>
          </w:p>
        </w:tc>
      </w:tr>
      <w:tr w:rsidR="00C43817" w14:paraId="36FEAC17" w14:textId="77777777" w:rsidTr="00D62FEB">
        <w:tc>
          <w:tcPr>
            <w:tcW w:w="855" w:type="dxa"/>
          </w:tcPr>
          <w:p w14:paraId="290C3DCD" w14:textId="77777777" w:rsidR="00C43817" w:rsidRDefault="00C43817" w:rsidP="00D11F40">
            <w:pPr>
              <w:jc w:val="both"/>
            </w:pPr>
            <w:r>
              <w:t>10</w:t>
            </w:r>
          </w:p>
        </w:tc>
        <w:tc>
          <w:tcPr>
            <w:tcW w:w="6976" w:type="dxa"/>
          </w:tcPr>
          <w:p w14:paraId="55ABB2FE" w14:textId="286BDA84" w:rsidR="00C43817" w:rsidRDefault="004C7CA3" w:rsidP="00D11F40">
            <w:pPr>
              <w:jc w:val="both"/>
            </w:pPr>
            <w:r>
              <w:t xml:space="preserve"> Las situaciones reflejadas en los informes responden a hechos reales y están presentados de forma clara, objetiva, ponderada y sistemática y teniendo en cuenta la importancia cuantitativa y cualitativa de la misma.</w:t>
            </w:r>
          </w:p>
        </w:tc>
      </w:tr>
      <w:tr w:rsidR="00C43817" w14:paraId="5C28090D" w14:textId="77777777" w:rsidTr="00D62FEB">
        <w:tc>
          <w:tcPr>
            <w:tcW w:w="855" w:type="dxa"/>
          </w:tcPr>
          <w:p w14:paraId="631CC4D2" w14:textId="77777777" w:rsidR="00C43817" w:rsidRDefault="00C43817" w:rsidP="00D11F40">
            <w:pPr>
              <w:jc w:val="both"/>
            </w:pPr>
            <w:r>
              <w:t>11</w:t>
            </w:r>
          </w:p>
        </w:tc>
        <w:tc>
          <w:tcPr>
            <w:tcW w:w="6976" w:type="dxa"/>
          </w:tcPr>
          <w:p w14:paraId="61B79DA7" w14:textId="77777777" w:rsidR="00C43817" w:rsidRDefault="00C43817" w:rsidP="00D11F40">
            <w:pPr>
              <w:jc w:val="both"/>
            </w:pPr>
            <w:r>
              <w:t>Todas las conclusiones de los informes tienen que estar debidamente fundamentadas en evidencia suficiente y adecuada, contenida en los papeles de trabajo, y, a su vez, todas las conclusiones de los papeles de trabajo con carácter relevante tienen que ser incluidas en el informe.</w:t>
            </w:r>
          </w:p>
        </w:tc>
      </w:tr>
      <w:tr w:rsidR="00C43817" w14:paraId="4C084081" w14:textId="77777777" w:rsidTr="00D62FEB">
        <w:tc>
          <w:tcPr>
            <w:tcW w:w="855" w:type="dxa"/>
          </w:tcPr>
          <w:p w14:paraId="06F01B75" w14:textId="77777777" w:rsidR="00C43817" w:rsidRDefault="00C43817" w:rsidP="00D11F40">
            <w:pPr>
              <w:jc w:val="both"/>
            </w:pPr>
            <w:r>
              <w:t>12</w:t>
            </w:r>
          </w:p>
        </w:tc>
        <w:tc>
          <w:tcPr>
            <w:tcW w:w="6976" w:type="dxa"/>
          </w:tcPr>
          <w:p w14:paraId="445A01EA" w14:textId="77777777" w:rsidR="00C43817" w:rsidRDefault="00C43817" w:rsidP="00D11F40">
            <w:pPr>
              <w:jc w:val="both"/>
            </w:pPr>
            <w:r>
              <w:t>Los plazos establecidos para la elaboración de los informes y su tramitación han sido respetados.</w:t>
            </w:r>
          </w:p>
        </w:tc>
      </w:tr>
      <w:tr w:rsidR="00C43817" w14:paraId="6B1C770A" w14:textId="77777777" w:rsidTr="00D62FEB">
        <w:tc>
          <w:tcPr>
            <w:tcW w:w="855" w:type="dxa"/>
          </w:tcPr>
          <w:p w14:paraId="739F6E2D" w14:textId="77777777" w:rsidR="00C43817" w:rsidRDefault="00C43817" w:rsidP="00D11F40">
            <w:pPr>
              <w:jc w:val="both"/>
            </w:pPr>
            <w:r>
              <w:t>13</w:t>
            </w:r>
          </w:p>
        </w:tc>
        <w:tc>
          <w:tcPr>
            <w:tcW w:w="6976" w:type="dxa"/>
          </w:tcPr>
          <w:p w14:paraId="4652A1F8" w14:textId="733DE07B" w:rsidR="00C43817" w:rsidRDefault="00C43817" w:rsidP="00D11F40">
            <w:pPr>
              <w:jc w:val="both"/>
            </w:pPr>
            <w:r>
              <w:t xml:space="preserve">Los informes de auditoría de cuentas, </w:t>
            </w:r>
            <w:r w:rsidR="001C41C2">
              <w:t>competencia del órgano interventor de la entidad local,</w:t>
            </w:r>
            <w:r w:rsidR="00BA2503" w:rsidRPr="00BA2503">
              <w:t xml:space="preserve"> </w:t>
            </w:r>
            <w:r>
              <w:t>provisionales y definitivos</w:t>
            </w:r>
            <w:r w:rsidR="001C41C2">
              <w:t>,</w:t>
            </w:r>
            <w:r>
              <w:t xml:space="preserve"> son firmados por el</w:t>
            </w:r>
            <w:r w:rsidR="00812CE9">
              <w:t xml:space="preserve"> órgano interventor de la</w:t>
            </w:r>
            <w:r w:rsidR="004C7CA3">
              <w:t xml:space="preserve"> entidad local</w:t>
            </w:r>
            <w:r w:rsidR="001C41C2">
              <w:t>.</w:t>
            </w:r>
            <w:r>
              <w:t xml:space="preserve">  </w:t>
            </w:r>
          </w:p>
        </w:tc>
      </w:tr>
      <w:tr w:rsidR="00C43817" w14:paraId="781FDD3E" w14:textId="77777777" w:rsidTr="008942F5">
        <w:trPr>
          <w:trHeight w:val="1384"/>
        </w:trPr>
        <w:tc>
          <w:tcPr>
            <w:tcW w:w="855" w:type="dxa"/>
          </w:tcPr>
          <w:p w14:paraId="3E0FB391" w14:textId="77777777" w:rsidR="00C43817" w:rsidRDefault="00C43817" w:rsidP="00D11F40">
            <w:pPr>
              <w:jc w:val="both"/>
            </w:pPr>
            <w:r>
              <w:t>14</w:t>
            </w:r>
          </w:p>
        </w:tc>
        <w:tc>
          <w:tcPr>
            <w:tcW w:w="6976" w:type="dxa"/>
          </w:tcPr>
          <w:p w14:paraId="7B68A21B" w14:textId="14AB8BFA" w:rsidR="00C43817" w:rsidRDefault="00C43817" w:rsidP="00D11F40">
            <w:pPr>
              <w:jc w:val="both"/>
            </w:pPr>
            <w:r>
              <w:t xml:space="preserve">Existe el IRCIA, cuando proceda, cumplimentado según la Norma Técnica </w:t>
            </w:r>
            <w:hyperlink r:id="rId7" w:tgtFrame="_blank" w:tooltip="Abre en nueva ventana" w:history="1">
              <w:r w:rsidR="003D2138" w:rsidRPr="002C50C6">
                <w:rPr>
                  <w:rStyle w:val="Hipervnculo"/>
                </w:rPr>
                <w:t xml:space="preserve"> de informe de recomendaciones de control interno e informe adicional al de auditoría de cuentas</w:t>
              </w:r>
              <w:r w:rsidR="003D2138">
                <w:rPr>
                  <w:rStyle w:val="Hipervnculo"/>
                </w:rPr>
                <w:t xml:space="preserve"> y firmado por el órgano</w:t>
              </w:r>
              <w:r w:rsidR="00812CE9">
                <w:rPr>
                  <w:rStyle w:val="Hipervnculo"/>
                </w:rPr>
                <w:t xml:space="preserve"> interventor de la </w:t>
              </w:r>
              <w:r w:rsidR="004C7CA3">
                <w:rPr>
                  <w:rStyle w:val="Hipervnculo"/>
                </w:rPr>
                <w:t>e</w:t>
              </w:r>
              <w:r w:rsidR="00812CE9">
                <w:rPr>
                  <w:rStyle w:val="Hipervnculo"/>
                </w:rPr>
                <w:t xml:space="preserve">ntidad </w:t>
              </w:r>
              <w:r w:rsidR="004C7CA3">
                <w:rPr>
                  <w:rStyle w:val="Hipervnculo"/>
                </w:rPr>
                <w:t>l</w:t>
              </w:r>
              <w:r w:rsidR="00812CE9">
                <w:rPr>
                  <w:rStyle w:val="Hipervnculo"/>
                </w:rPr>
                <w:t>ocal</w:t>
              </w:r>
              <w:r w:rsidR="003D2138">
                <w:rPr>
                  <w:rStyle w:val="Hipervnculo"/>
                </w:rPr>
                <w:t xml:space="preserve"> </w:t>
              </w:r>
            </w:hyperlink>
          </w:p>
        </w:tc>
      </w:tr>
    </w:tbl>
    <w:p w14:paraId="7977820A" w14:textId="77777777" w:rsidR="00C43817" w:rsidRDefault="00C43817" w:rsidP="00D11F40">
      <w:pPr>
        <w:jc w:val="both"/>
      </w:pPr>
    </w:p>
    <w:sectPr w:rsidR="00C43817" w:rsidSect="00714248">
      <w:headerReference w:type="default"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57EF8" w14:textId="77777777" w:rsidR="00714248" w:rsidRDefault="00714248" w:rsidP="00714248">
      <w:pPr>
        <w:spacing w:after="0" w:line="240" w:lineRule="auto"/>
      </w:pPr>
      <w:r>
        <w:separator/>
      </w:r>
    </w:p>
  </w:endnote>
  <w:endnote w:type="continuationSeparator" w:id="0">
    <w:p w14:paraId="29A32202" w14:textId="77777777" w:rsidR="00714248" w:rsidRDefault="00714248" w:rsidP="0071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714248" w:rsidRPr="005448A7" w14:paraId="32D81FE7" w14:textId="77777777" w:rsidTr="004B620A">
      <w:trPr>
        <w:trHeight w:val="364"/>
        <w:jc w:val="center"/>
      </w:trPr>
      <w:tc>
        <w:tcPr>
          <w:tcW w:w="8446" w:type="dxa"/>
          <w:tcMar>
            <w:left w:w="0" w:type="dxa"/>
          </w:tcMar>
        </w:tcPr>
        <w:p w14:paraId="70708DDA" w14:textId="77777777" w:rsidR="00714248" w:rsidRPr="005448A7" w:rsidRDefault="00714248" w:rsidP="00714248">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28FECF32" w14:textId="77777777" w:rsidR="00714248" w:rsidRPr="005448A7" w:rsidRDefault="00714248" w:rsidP="00714248">
          <w:pPr>
            <w:tabs>
              <w:tab w:val="center" w:pos="4252"/>
              <w:tab w:val="right" w:pos="8504"/>
            </w:tabs>
            <w:rPr>
              <w:rFonts w:ascii="Gill Sans MT" w:hAnsi="Gill Sans MT"/>
              <w:sz w:val="10"/>
              <w:szCs w:val="10"/>
              <w:lang w:val="es-ES_tradnl"/>
            </w:rPr>
          </w:pPr>
        </w:p>
        <w:p w14:paraId="525F7353" w14:textId="77777777" w:rsidR="00714248" w:rsidRPr="005448A7" w:rsidRDefault="00714248" w:rsidP="00714248">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714248" w:rsidRPr="005448A7" w14:paraId="2757CA7F" w14:textId="77777777" w:rsidTr="004B620A">
      <w:trPr>
        <w:trHeight w:val="364"/>
        <w:jc w:val="center"/>
      </w:trPr>
      <w:tc>
        <w:tcPr>
          <w:tcW w:w="8446" w:type="dxa"/>
          <w:tcMar>
            <w:left w:w="0" w:type="dxa"/>
          </w:tcMar>
        </w:tcPr>
        <w:p w14:paraId="284CB836" w14:textId="77777777" w:rsidR="00714248" w:rsidRPr="005448A7" w:rsidRDefault="00714248" w:rsidP="00714248">
          <w:pPr>
            <w:tabs>
              <w:tab w:val="center" w:pos="5812"/>
              <w:tab w:val="right" w:pos="8504"/>
            </w:tabs>
            <w:rPr>
              <w:rFonts w:ascii="Arial" w:hAnsi="Arial"/>
              <w:sz w:val="10"/>
              <w:szCs w:val="10"/>
              <w:lang w:val="es-ES_tradnl"/>
            </w:rPr>
          </w:pPr>
        </w:p>
        <w:p w14:paraId="2243BA8C" w14:textId="77777777" w:rsidR="00714248" w:rsidRPr="005448A7" w:rsidRDefault="00714248" w:rsidP="00714248">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1B5858EA" w14:textId="77777777" w:rsidR="00714248" w:rsidRPr="005448A7" w:rsidRDefault="00714248" w:rsidP="00714248">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03D525AA" w14:textId="77777777" w:rsidR="00714248" w:rsidRDefault="007142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714248" w:rsidRPr="005448A7" w14:paraId="46FCB5C8" w14:textId="77777777" w:rsidTr="004B620A">
      <w:trPr>
        <w:trHeight w:val="85"/>
      </w:trPr>
      <w:tc>
        <w:tcPr>
          <w:tcW w:w="1915" w:type="dxa"/>
          <w:tcBorders>
            <w:top w:val="nil"/>
            <w:left w:val="nil"/>
            <w:bottom w:val="nil"/>
            <w:right w:val="nil"/>
          </w:tcBorders>
          <w:vAlign w:val="bottom"/>
        </w:tcPr>
        <w:p w14:paraId="3EE3C280" w14:textId="77777777" w:rsidR="00714248" w:rsidRPr="005448A7" w:rsidRDefault="00714248" w:rsidP="00714248">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42A9894F" w14:textId="77777777" w:rsidR="00714248" w:rsidRPr="005448A7" w:rsidRDefault="00714248" w:rsidP="00714248">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7D05693F" w14:textId="77777777" w:rsidR="00714248" w:rsidRPr="005448A7" w:rsidRDefault="00714248" w:rsidP="00714248">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53A39603" w14:textId="77777777" w:rsidR="00714248" w:rsidRPr="005448A7" w:rsidRDefault="00714248" w:rsidP="00714248">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45BEE24E" w14:textId="77777777" w:rsidR="00714248" w:rsidRPr="005448A7" w:rsidRDefault="00714248" w:rsidP="00714248">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714248" w:rsidRPr="005448A7" w14:paraId="246A2627" w14:textId="77777777" w:rsidTr="004B620A">
      <w:trPr>
        <w:trHeight w:val="98"/>
      </w:trPr>
      <w:tc>
        <w:tcPr>
          <w:tcW w:w="3177" w:type="dxa"/>
          <w:gridSpan w:val="2"/>
          <w:tcBorders>
            <w:top w:val="nil"/>
            <w:right w:val="nil"/>
          </w:tcBorders>
          <w:vAlign w:val="bottom"/>
        </w:tcPr>
        <w:p w14:paraId="67D6A5A0" w14:textId="77777777" w:rsidR="00714248" w:rsidRPr="005448A7" w:rsidRDefault="00714248" w:rsidP="00714248">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309CE183" w14:textId="77777777" w:rsidR="00714248" w:rsidRPr="005448A7" w:rsidRDefault="00714248" w:rsidP="00714248">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0D843822" w14:textId="77777777" w:rsidR="00714248" w:rsidRPr="005448A7" w:rsidRDefault="00714248" w:rsidP="00714248">
          <w:pPr>
            <w:tabs>
              <w:tab w:val="left" w:pos="8080"/>
            </w:tabs>
            <w:spacing w:after="0" w:line="240" w:lineRule="auto"/>
            <w:rPr>
              <w:rFonts w:ascii="Gill Sans MT" w:eastAsia="Times New Roman" w:hAnsi="Gill Sans MT" w:cs="Arial"/>
              <w:sz w:val="14"/>
              <w:szCs w:val="20"/>
              <w:lang w:val="es-ES_tradnl" w:eastAsia="es-ES"/>
            </w:rPr>
          </w:pPr>
        </w:p>
      </w:tc>
    </w:tr>
  </w:tbl>
  <w:p w14:paraId="588E03C4" w14:textId="77777777" w:rsidR="00714248" w:rsidRDefault="007142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A7BF0" w14:textId="77777777" w:rsidR="00714248" w:rsidRDefault="00714248" w:rsidP="00714248">
      <w:pPr>
        <w:spacing w:after="0" w:line="240" w:lineRule="auto"/>
      </w:pPr>
      <w:r>
        <w:separator/>
      </w:r>
    </w:p>
  </w:footnote>
  <w:footnote w:type="continuationSeparator" w:id="0">
    <w:p w14:paraId="27BCA77B" w14:textId="77777777" w:rsidR="00714248" w:rsidRDefault="00714248" w:rsidP="00714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714248" w14:paraId="5BCAADEC" w14:textId="77777777" w:rsidTr="004B620A">
      <w:trPr>
        <w:cantSplit/>
      </w:trPr>
      <w:tc>
        <w:tcPr>
          <w:tcW w:w="1276" w:type="dxa"/>
        </w:tcPr>
        <w:p w14:paraId="669ACD81" w14:textId="77777777" w:rsidR="00714248" w:rsidRDefault="00714248" w:rsidP="00714248">
          <w:pPr>
            <w:pStyle w:val="Encabezado"/>
            <w:spacing w:before="160"/>
            <w:ind w:left="-68"/>
          </w:pPr>
          <w:r>
            <w:rPr>
              <w:noProof/>
            </w:rPr>
            <w:drawing>
              <wp:inline distT="0" distB="0" distL="0" distR="0" wp14:anchorId="097F18F8" wp14:editId="6BED9A96">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56473330" w14:textId="77777777" w:rsidR="00714248" w:rsidRDefault="007142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714248" w:rsidRPr="005448A7" w14:paraId="0A876275" w14:textId="77777777" w:rsidTr="004B620A">
      <w:trPr>
        <w:cantSplit/>
        <w:trHeight w:val="490"/>
        <w:jc w:val="center"/>
      </w:trPr>
      <w:tc>
        <w:tcPr>
          <w:tcW w:w="1510" w:type="dxa"/>
          <w:vMerge w:val="restart"/>
        </w:tcPr>
        <w:p w14:paraId="6412055D" w14:textId="77777777" w:rsidR="00714248" w:rsidRPr="005448A7" w:rsidRDefault="00714248" w:rsidP="00714248">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290F4CC1" wp14:editId="4B004508">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22649D66" w14:textId="77777777" w:rsidR="00714248" w:rsidRPr="005448A7" w:rsidRDefault="00714248" w:rsidP="00714248">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08F71904" w14:textId="77777777" w:rsidR="00714248" w:rsidRPr="005448A7" w:rsidRDefault="00714248" w:rsidP="00714248">
          <w:pPr>
            <w:spacing w:before="600" w:after="0" w:line="160" w:lineRule="exact"/>
            <w:ind w:left="108"/>
            <w:rPr>
              <w:rFonts w:ascii="Gill Sans MT" w:eastAsia="Times New Roman" w:hAnsi="Gill Sans MT" w:cs="Times New Roman"/>
              <w:sz w:val="14"/>
              <w:szCs w:val="14"/>
              <w:lang w:eastAsia="es-ES"/>
            </w:rPr>
          </w:pPr>
        </w:p>
      </w:tc>
    </w:tr>
    <w:tr w:rsidR="00714248" w:rsidRPr="005448A7" w14:paraId="56D4495D" w14:textId="77777777" w:rsidTr="004B620A">
      <w:trPr>
        <w:cantSplit/>
        <w:trHeight w:val="1017"/>
        <w:jc w:val="center"/>
      </w:trPr>
      <w:tc>
        <w:tcPr>
          <w:tcW w:w="1510" w:type="dxa"/>
          <w:vMerge/>
        </w:tcPr>
        <w:p w14:paraId="06D8D83B" w14:textId="77777777" w:rsidR="00714248" w:rsidRPr="005448A7" w:rsidRDefault="00714248" w:rsidP="00714248">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47EC0BFA" w14:textId="77777777" w:rsidR="00714248" w:rsidRPr="005448A7" w:rsidRDefault="00714248" w:rsidP="00714248">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459446AB" w14:textId="77777777" w:rsidR="00714248" w:rsidRPr="005448A7" w:rsidRDefault="00714248" w:rsidP="00714248">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6467E795" w14:textId="77777777" w:rsidR="00714248" w:rsidRPr="005448A7" w:rsidRDefault="00714248" w:rsidP="00714248">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012C3AB1" w14:textId="77777777" w:rsidR="00714248" w:rsidRPr="005448A7" w:rsidRDefault="00714248" w:rsidP="00714248">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18D43992" w14:textId="77777777" w:rsidR="00714248" w:rsidRPr="005448A7" w:rsidRDefault="00714248" w:rsidP="00714248">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20B16265" w14:textId="77777777" w:rsidR="00714248" w:rsidRPr="005448A7" w:rsidRDefault="00714248" w:rsidP="00714248">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50187F31" w14:textId="77777777" w:rsidR="00714248" w:rsidRPr="005448A7" w:rsidRDefault="00714248" w:rsidP="00714248">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1B787F0B" w14:textId="77777777" w:rsidR="00714248" w:rsidRDefault="007142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B0D0E"/>
    <w:multiLevelType w:val="hybridMultilevel"/>
    <w:tmpl w:val="2D7A272A"/>
    <w:lvl w:ilvl="0" w:tplc="BD26D41A">
      <w:start w:val="1"/>
      <w:numFmt w:val="decimal"/>
      <w:lvlText w:val="%1."/>
      <w:lvlJc w:val="left"/>
      <w:pPr>
        <w:ind w:left="1080" w:hanging="360"/>
      </w:pPr>
    </w:lvl>
    <w:lvl w:ilvl="1" w:tplc="67721CE8">
      <w:start w:val="1"/>
      <w:numFmt w:val="decimal"/>
      <w:lvlText w:val="%2."/>
      <w:lvlJc w:val="left"/>
      <w:pPr>
        <w:ind w:left="1080" w:hanging="360"/>
      </w:pPr>
    </w:lvl>
    <w:lvl w:ilvl="2" w:tplc="5DF869D8">
      <w:start w:val="1"/>
      <w:numFmt w:val="decimal"/>
      <w:lvlText w:val="%3."/>
      <w:lvlJc w:val="left"/>
      <w:pPr>
        <w:ind w:left="1080" w:hanging="360"/>
      </w:pPr>
    </w:lvl>
    <w:lvl w:ilvl="3" w:tplc="15C4870E">
      <w:start w:val="1"/>
      <w:numFmt w:val="decimal"/>
      <w:lvlText w:val="%4."/>
      <w:lvlJc w:val="left"/>
      <w:pPr>
        <w:ind w:left="1080" w:hanging="360"/>
      </w:pPr>
    </w:lvl>
    <w:lvl w:ilvl="4" w:tplc="865842A0">
      <w:start w:val="1"/>
      <w:numFmt w:val="decimal"/>
      <w:lvlText w:val="%5."/>
      <w:lvlJc w:val="left"/>
      <w:pPr>
        <w:ind w:left="1080" w:hanging="360"/>
      </w:pPr>
    </w:lvl>
    <w:lvl w:ilvl="5" w:tplc="895ABC36">
      <w:start w:val="1"/>
      <w:numFmt w:val="decimal"/>
      <w:lvlText w:val="%6."/>
      <w:lvlJc w:val="left"/>
      <w:pPr>
        <w:ind w:left="1080" w:hanging="360"/>
      </w:pPr>
    </w:lvl>
    <w:lvl w:ilvl="6" w:tplc="EE781DDC">
      <w:start w:val="1"/>
      <w:numFmt w:val="decimal"/>
      <w:lvlText w:val="%7."/>
      <w:lvlJc w:val="left"/>
      <w:pPr>
        <w:ind w:left="1080" w:hanging="360"/>
      </w:pPr>
    </w:lvl>
    <w:lvl w:ilvl="7" w:tplc="F8CC5964">
      <w:start w:val="1"/>
      <w:numFmt w:val="decimal"/>
      <w:lvlText w:val="%8."/>
      <w:lvlJc w:val="left"/>
      <w:pPr>
        <w:ind w:left="1080" w:hanging="360"/>
      </w:pPr>
    </w:lvl>
    <w:lvl w:ilvl="8" w:tplc="BF9AFE78">
      <w:start w:val="1"/>
      <w:numFmt w:val="decimal"/>
      <w:lvlText w:val="%9."/>
      <w:lvlJc w:val="left"/>
      <w:pPr>
        <w:ind w:left="1080" w:hanging="360"/>
      </w:pPr>
    </w:lvl>
  </w:abstractNum>
  <w:abstractNum w:abstractNumId="1" w15:restartNumberingAfterBreak="0">
    <w:nsid w:val="1B890E00"/>
    <w:multiLevelType w:val="hybridMultilevel"/>
    <w:tmpl w:val="D0EA38DE"/>
    <w:lvl w:ilvl="0" w:tplc="13365E86">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 w15:restartNumberingAfterBreak="0">
    <w:nsid w:val="1E4B5628"/>
    <w:multiLevelType w:val="hybridMultilevel"/>
    <w:tmpl w:val="FF5C3688"/>
    <w:lvl w:ilvl="0" w:tplc="87508E12">
      <w:start w:val="1"/>
      <w:numFmt w:val="decimal"/>
      <w:lvlText w:val="%1."/>
      <w:lvlJc w:val="left"/>
      <w:pPr>
        <w:ind w:left="1080" w:hanging="360"/>
      </w:pPr>
    </w:lvl>
    <w:lvl w:ilvl="1" w:tplc="B1E8AF4A">
      <w:start w:val="1"/>
      <w:numFmt w:val="decimal"/>
      <w:lvlText w:val="%2."/>
      <w:lvlJc w:val="left"/>
      <w:pPr>
        <w:ind w:left="1080" w:hanging="360"/>
      </w:pPr>
    </w:lvl>
    <w:lvl w:ilvl="2" w:tplc="1CE856B0">
      <w:start w:val="1"/>
      <w:numFmt w:val="decimal"/>
      <w:lvlText w:val="%3."/>
      <w:lvlJc w:val="left"/>
      <w:pPr>
        <w:ind w:left="1080" w:hanging="360"/>
      </w:pPr>
    </w:lvl>
    <w:lvl w:ilvl="3" w:tplc="F7AE92C4">
      <w:start w:val="1"/>
      <w:numFmt w:val="decimal"/>
      <w:lvlText w:val="%4."/>
      <w:lvlJc w:val="left"/>
      <w:pPr>
        <w:ind w:left="1080" w:hanging="360"/>
      </w:pPr>
    </w:lvl>
    <w:lvl w:ilvl="4" w:tplc="0C0EF764">
      <w:start w:val="1"/>
      <w:numFmt w:val="decimal"/>
      <w:lvlText w:val="%5."/>
      <w:lvlJc w:val="left"/>
      <w:pPr>
        <w:ind w:left="1080" w:hanging="360"/>
      </w:pPr>
    </w:lvl>
    <w:lvl w:ilvl="5" w:tplc="63DC5BE6">
      <w:start w:val="1"/>
      <w:numFmt w:val="decimal"/>
      <w:lvlText w:val="%6."/>
      <w:lvlJc w:val="left"/>
      <w:pPr>
        <w:ind w:left="1080" w:hanging="360"/>
      </w:pPr>
    </w:lvl>
    <w:lvl w:ilvl="6" w:tplc="1DC0C144">
      <w:start w:val="1"/>
      <w:numFmt w:val="decimal"/>
      <w:lvlText w:val="%7."/>
      <w:lvlJc w:val="left"/>
      <w:pPr>
        <w:ind w:left="1080" w:hanging="360"/>
      </w:pPr>
    </w:lvl>
    <w:lvl w:ilvl="7" w:tplc="CD5E2BC2">
      <w:start w:val="1"/>
      <w:numFmt w:val="decimal"/>
      <w:lvlText w:val="%8."/>
      <w:lvlJc w:val="left"/>
      <w:pPr>
        <w:ind w:left="1080" w:hanging="360"/>
      </w:pPr>
    </w:lvl>
    <w:lvl w:ilvl="8" w:tplc="0ADE3292">
      <w:start w:val="1"/>
      <w:numFmt w:val="decimal"/>
      <w:lvlText w:val="%9."/>
      <w:lvlJc w:val="left"/>
      <w:pPr>
        <w:ind w:left="1080" w:hanging="360"/>
      </w:pPr>
    </w:lvl>
  </w:abstractNum>
  <w:abstractNum w:abstractNumId="3" w15:restartNumberingAfterBreak="0">
    <w:nsid w:val="2078436B"/>
    <w:multiLevelType w:val="hybridMultilevel"/>
    <w:tmpl w:val="32AA090A"/>
    <w:lvl w:ilvl="0" w:tplc="0864258C">
      <w:start w:val="1"/>
      <w:numFmt w:val="bullet"/>
      <w:lvlText w:val=""/>
      <w:lvlJc w:val="left"/>
      <w:pPr>
        <w:ind w:left="720" w:hanging="360"/>
      </w:pPr>
      <w:rPr>
        <w:rFonts w:ascii="Symbol" w:hAnsi="Symbol"/>
      </w:rPr>
    </w:lvl>
    <w:lvl w:ilvl="1" w:tplc="CDE8DF62">
      <w:start w:val="1"/>
      <w:numFmt w:val="bullet"/>
      <w:lvlText w:val=""/>
      <w:lvlJc w:val="left"/>
      <w:pPr>
        <w:ind w:left="720" w:hanging="360"/>
      </w:pPr>
      <w:rPr>
        <w:rFonts w:ascii="Symbol" w:hAnsi="Symbol"/>
      </w:rPr>
    </w:lvl>
    <w:lvl w:ilvl="2" w:tplc="58AE6C3E">
      <w:start w:val="1"/>
      <w:numFmt w:val="bullet"/>
      <w:lvlText w:val=""/>
      <w:lvlJc w:val="left"/>
      <w:pPr>
        <w:ind w:left="720" w:hanging="360"/>
      </w:pPr>
      <w:rPr>
        <w:rFonts w:ascii="Symbol" w:hAnsi="Symbol"/>
      </w:rPr>
    </w:lvl>
    <w:lvl w:ilvl="3" w:tplc="F2D2FC12">
      <w:start w:val="1"/>
      <w:numFmt w:val="bullet"/>
      <w:lvlText w:val=""/>
      <w:lvlJc w:val="left"/>
      <w:pPr>
        <w:ind w:left="720" w:hanging="360"/>
      </w:pPr>
      <w:rPr>
        <w:rFonts w:ascii="Symbol" w:hAnsi="Symbol"/>
      </w:rPr>
    </w:lvl>
    <w:lvl w:ilvl="4" w:tplc="C29421CE">
      <w:start w:val="1"/>
      <w:numFmt w:val="bullet"/>
      <w:lvlText w:val=""/>
      <w:lvlJc w:val="left"/>
      <w:pPr>
        <w:ind w:left="720" w:hanging="360"/>
      </w:pPr>
      <w:rPr>
        <w:rFonts w:ascii="Symbol" w:hAnsi="Symbol"/>
      </w:rPr>
    </w:lvl>
    <w:lvl w:ilvl="5" w:tplc="62EA0A3A">
      <w:start w:val="1"/>
      <w:numFmt w:val="bullet"/>
      <w:lvlText w:val=""/>
      <w:lvlJc w:val="left"/>
      <w:pPr>
        <w:ind w:left="720" w:hanging="360"/>
      </w:pPr>
      <w:rPr>
        <w:rFonts w:ascii="Symbol" w:hAnsi="Symbol"/>
      </w:rPr>
    </w:lvl>
    <w:lvl w:ilvl="6" w:tplc="A5AADEE2">
      <w:start w:val="1"/>
      <w:numFmt w:val="bullet"/>
      <w:lvlText w:val=""/>
      <w:lvlJc w:val="left"/>
      <w:pPr>
        <w:ind w:left="720" w:hanging="360"/>
      </w:pPr>
      <w:rPr>
        <w:rFonts w:ascii="Symbol" w:hAnsi="Symbol"/>
      </w:rPr>
    </w:lvl>
    <w:lvl w:ilvl="7" w:tplc="FE4A2514">
      <w:start w:val="1"/>
      <w:numFmt w:val="bullet"/>
      <w:lvlText w:val=""/>
      <w:lvlJc w:val="left"/>
      <w:pPr>
        <w:ind w:left="720" w:hanging="360"/>
      </w:pPr>
      <w:rPr>
        <w:rFonts w:ascii="Symbol" w:hAnsi="Symbol"/>
      </w:rPr>
    </w:lvl>
    <w:lvl w:ilvl="8" w:tplc="C544359C">
      <w:start w:val="1"/>
      <w:numFmt w:val="bullet"/>
      <w:lvlText w:val=""/>
      <w:lvlJc w:val="left"/>
      <w:pPr>
        <w:ind w:left="720" w:hanging="360"/>
      </w:pPr>
      <w:rPr>
        <w:rFonts w:ascii="Symbol" w:hAnsi="Symbol"/>
      </w:rPr>
    </w:lvl>
  </w:abstractNum>
  <w:abstractNum w:abstractNumId="4" w15:restartNumberingAfterBreak="0">
    <w:nsid w:val="40BE0377"/>
    <w:multiLevelType w:val="hybridMultilevel"/>
    <w:tmpl w:val="4B5A3C38"/>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5" w15:restartNumberingAfterBreak="0">
    <w:nsid w:val="49435985"/>
    <w:multiLevelType w:val="multilevel"/>
    <w:tmpl w:val="33C2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5F3C91"/>
    <w:multiLevelType w:val="hybridMultilevel"/>
    <w:tmpl w:val="259AE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8FD7DFC"/>
    <w:multiLevelType w:val="multilevel"/>
    <w:tmpl w:val="E6B0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6D1A59"/>
    <w:multiLevelType w:val="hybridMultilevel"/>
    <w:tmpl w:val="F1EC6B2C"/>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4216A3C"/>
    <w:multiLevelType w:val="multilevel"/>
    <w:tmpl w:val="922C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8906CB"/>
    <w:multiLevelType w:val="hybridMultilevel"/>
    <w:tmpl w:val="71F68F4E"/>
    <w:lvl w:ilvl="0" w:tplc="05D2A91C">
      <w:start w:val="1"/>
      <w:numFmt w:val="decimal"/>
      <w:lvlText w:val="%1."/>
      <w:lvlJc w:val="left"/>
      <w:pPr>
        <w:ind w:left="1080" w:hanging="360"/>
      </w:pPr>
    </w:lvl>
    <w:lvl w:ilvl="1" w:tplc="1D70A422">
      <w:start w:val="1"/>
      <w:numFmt w:val="decimal"/>
      <w:lvlText w:val="%2."/>
      <w:lvlJc w:val="left"/>
      <w:pPr>
        <w:ind w:left="1080" w:hanging="360"/>
      </w:pPr>
    </w:lvl>
    <w:lvl w:ilvl="2" w:tplc="38EC12B4">
      <w:start w:val="1"/>
      <w:numFmt w:val="decimal"/>
      <w:lvlText w:val="%3."/>
      <w:lvlJc w:val="left"/>
      <w:pPr>
        <w:ind w:left="1080" w:hanging="360"/>
      </w:pPr>
    </w:lvl>
    <w:lvl w:ilvl="3" w:tplc="F6A606F6">
      <w:start w:val="1"/>
      <w:numFmt w:val="decimal"/>
      <w:lvlText w:val="%4."/>
      <w:lvlJc w:val="left"/>
      <w:pPr>
        <w:ind w:left="1080" w:hanging="360"/>
      </w:pPr>
    </w:lvl>
    <w:lvl w:ilvl="4" w:tplc="5C4A1DC2">
      <w:start w:val="1"/>
      <w:numFmt w:val="decimal"/>
      <w:lvlText w:val="%5."/>
      <w:lvlJc w:val="left"/>
      <w:pPr>
        <w:ind w:left="1080" w:hanging="360"/>
      </w:pPr>
    </w:lvl>
    <w:lvl w:ilvl="5" w:tplc="0B6C69F0">
      <w:start w:val="1"/>
      <w:numFmt w:val="decimal"/>
      <w:lvlText w:val="%6."/>
      <w:lvlJc w:val="left"/>
      <w:pPr>
        <w:ind w:left="1080" w:hanging="360"/>
      </w:pPr>
    </w:lvl>
    <w:lvl w:ilvl="6" w:tplc="8954DB56">
      <w:start w:val="1"/>
      <w:numFmt w:val="decimal"/>
      <w:lvlText w:val="%7."/>
      <w:lvlJc w:val="left"/>
      <w:pPr>
        <w:ind w:left="1080" w:hanging="360"/>
      </w:pPr>
    </w:lvl>
    <w:lvl w:ilvl="7" w:tplc="2098B3A2">
      <w:start w:val="1"/>
      <w:numFmt w:val="decimal"/>
      <w:lvlText w:val="%8."/>
      <w:lvlJc w:val="left"/>
      <w:pPr>
        <w:ind w:left="1080" w:hanging="360"/>
      </w:pPr>
    </w:lvl>
    <w:lvl w:ilvl="8" w:tplc="FE04A92C">
      <w:start w:val="1"/>
      <w:numFmt w:val="decimal"/>
      <w:lvlText w:val="%9."/>
      <w:lvlJc w:val="left"/>
      <w:pPr>
        <w:ind w:left="1080" w:hanging="360"/>
      </w:pPr>
    </w:lvl>
  </w:abstractNum>
  <w:num w:numId="1" w16cid:durableId="1515803139">
    <w:abstractNumId w:val="4"/>
  </w:num>
  <w:num w:numId="2" w16cid:durableId="672683804">
    <w:abstractNumId w:val="6"/>
  </w:num>
  <w:num w:numId="3" w16cid:durableId="591739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503880">
    <w:abstractNumId w:val="3"/>
  </w:num>
  <w:num w:numId="5" w16cid:durableId="1888831270">
    <w:abstractNumId w:val="0"/>
  </w:num>
  <w:num w:numId="6" w16cid:durableId="981540439">
    <w:abstractNumId w:val="2"/>
  </w:num>
  <w:num w:numId="7" w16cid:durableId="1372143628">
    <w:abstractNumId w:val="10"/>
  </w:num>
  <w:num w:numId="8" w16cid:durableId="1654288227">
    <w:abstractNumId w:val="7"/>
  </w:num>
  <w:num w:numId="9" w16cid:durableId="1189874596">
    <w:abstractNumId w:val="9"/>
  </w:num>
  <w:num w:numId="10" w16cid:durableId="509150555">
    <w:abstractNumId w:val="5"/>
  </w:num>
  <w:num w:numId="11" w16cid:durableId="1296250953">
    <w:abstractNumId w:val="1"/>
  </w:num>
  <w:num w:numId="12" w16cid:durableId="148924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17"/>
    <w:rsid w:val="0007653A"/>
    <w:rsid w:val="000D4EAA"/>
    <w:rsid w:val="0016218D"/>
    <w:rsid w:val="001B6513"/>
    <w:rsid w:val="001C41C2"/>
    <w:rsid w:val="001D7296"/>
    <w:rsid w:val="002A50A1"/>
    <w:rsid w:val="002B7752"/>
    <w:rsid w:val="00327BB2"/>
    <w:rsid w:val="0037368E"/>
    <w:rsid w:val="00396391"/>
    <w:rsid w:val="003D2138"/>
    <w:rsid w:val="004C7CA3"/>
    <w:rsid w:val="00544A25"/>
    <w:rsid w:val="00583637"/>
    <w:rsid w:val="005C04A1"/>
    <w:rsid w:val="006F65A3"/>
    <w:rsid w:val="00714248"/>
    <w:rsid w:val="00812CE9"/>
    <w:rsid w:val="00845EA5"/>
    <w:rsid w:val="00890710"/>
    <w:rsid w:val="008942F5"/>
    <w:rsid w:val="00B6668D"/>
    <w:rsid w:val="00BA2503"/>
    <w:rsid w:val="00BE7CA1"/>
    <w:rsid w:val="00BF2C6A"/>
    <w:rsid w:val="00C058B1"/>
    <w:rsid w:val="00C43817"/>
    <w:rsid w:val="00C75A8A"/>
    <w:rsid w:val="00C85DD1"/>
    <w:rsid w:val="00C86F63"/>
    <w:rsid w:val="00CE34D0"/>
    <w:rsid w:val="00D11F40"/>
    <w:rsid w:val="00E0038F"/>
    <w:rsid w:val="00E941CB"/>
    <w:rsid w:val="00F01292"/>
    <w:rsid w:val="00F2357E"/>
    <w:rsid w:val="00F62C83"/>
    <w:rsid w:val="00F673AE"/>
    <w:rsid w:val="00F72B2C"/>
    <w:rsid w:val="00F94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CBDF"/>
  <w15:chartTrackingRefBased/>
  <w15:docId w15:val="{E128EE58-1E96-4DB9-A064-5E3040E3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3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817"/>
    <w:pPr>
      <w:ind w:left="720"/>
      <w:contextualSpacing/>
    </w:pPr>
  </w:style>
  <w:style w:type="paragraph" w:styleId="Textodeglobo">
    <w:name w:val="Balloon Text"/>
    <w:basedOn w:val="Normal"/>
    <w:link w:val="TextodegloboCar"/>
    <w:uiPriority w:val="99"/>
    <w:semiHidden/>
    <w:unhideWhenUsed/>
    <w:rsid w:val="005836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637"/>
    <w:rPr>
      <w:rFonts w:ascii="Segoe UI" w:hAnsi="Segoe UI" w:cs="Segoe UI"/>
      <w:sz w:val="18"/>
      <w:szCs w:val="18"/>
    </w:rPr>
  </w:style>
  <w:style w:type="character" w:styleId="Refdecomentario">
    <w:name w:val="annotation reference"/>
    <w:basedOn w:val="Fuentedeprrafopredeter"/>
    <w:uiPriority w:val="99"/>
    <w:semiHidden/>
    <w:unhideWhenUsed/>
    <w:rsid w:val="003D2138"/>
    <w:rPr>
      <w:sz w:val="16"/>
      <w:szCs w:val="16"/>
    </w:rPr>
  </w:style>
  <w:style w:type="paragraph" w:styleId="Textocomentario">
    <w:name w:val="annotation text"/>
    <w:basedOn w:val="Normal"/>
    <w:link w:val="TextocomentarioCar"/>
    <w:uiPriority w:val="99"/>
    <w:unhideWhenUsed/>
    <w:rsid w:val="003D2138"/>
    <w:pPr>
      <w:spacing w:line="240" w:lineRule="auto"/>
    </w:pPr>
    <w:rPr>
      <w:sz w:val="20"/>
      <w:szCs w:val="20"/>
    </w:rPr>
  </w:style>
  <w:style w:type="character" w:customStyle="1" w:styleId="TextocomentarioCar">
    <w:name w:val="Texto comentario Car"/>
    <w:basedOn w:val="Fuentedeprrafopredeter"/>
    <w:link w:val="Textocomentario"/>
    <w:uiPriority w:val="99"/>
    <w:rsid w:val="003D2138"/>
    <w:rPr>
      <w:sz w:val="20"/>
      <w:szCs w:val="20"/>
    </w:rPr>
  </w:style>
  <w:style w:type="paragraph" w:styleId="Asuntodelcomentario">
    <w:name w:val="annotation subject"/>
    <w:basedOn w:val="Textocomentario"/>
    <w:next w:val="Textocomentario"/>
    <w:link w:val="AsuntodelcomentarioCar"/>
    <w:uiPriority w:val="99"/>
    <w:semiHidden/>
    <w:unhideWhenUsed/>
    <w:rsid w:val="003D2138"/>
    <w:rPr>
      <w:b/>
      <w:bCs/>
    </w:rPr>
  </w:style>
  <w:style w:type="character" w:customStyle="1" w:styleId="AsuntodelcomentarioCar">
    <w:name w:val="Asunto del comentario Car"/>
    <w:basedOn w:val="TextocomentarioCar"/>
    <w:link w:val="Asuntodelcomentario"/>
    <w:uiPriority w:val="99"/>
    <w:semiHidden/>
    <w:rsid w:val="003D2138"/>
    <w:rPr>
      <w:b/>
      <w:bCs/>
      <w:sz w:val="20"/>
      <w:szCs w:val="20"/>
    </w:rPr>
  </w:style>
  <w:style w:type="character" w:styleId="Hipervnculo">
    <w:name w:val="Hyperlink"/>
    <w:basedOn w:val="Fuentedeprrafopredeter"/>
    <w:uiPriority w:val="99"/>
    <w:unhideWhenUsed/>
    <w:rsid w:val="003D2138"/>
    <w:rPr>
      <w:color w:val="0563C1" w:themeColor="hyperlink"/>
      <w:u w:val="single"/>
    </w:rPr>
  </w:style>
  <w:style w:type="character" w:styleId="Hipervnculovisitado">
    <w:name w:val="FollowedHyperlink"/>
    <w:basedOn w:val="Fuentedeprrafopredeter"/>
    <w:uiPriority w:val="99"/>
    <w:semiHidden/>
    <w:unhideWhenUsed/>
    <w:rsid w:val="00812CE9"/>
    <w:rPr>
      <w:color w:val="954F72" w:themeColor="followedHyperlink"/>
      <w:u w:val="single"/>
    </w:rPr>
  </w:style>
  <w:style w:type="paragraph" w:styleId="Revisin">
    <w:name w:val="Revision"/>
    <w:hidden/>
    <w:uiPriority w:val="99"/>
    <w:semiHidden/>
    <w:rsid w:val="00BA2503"/>
    <w:pPr>
      <w:spacing w:after="0" w:line="240" w:lineRule="auto"/>
    </w:pPr>
  </w:style>
  <w:style w:type="paragraph" w:styleId="Encabezado">
    <w:name w:val="header"/>
    <w:basedOn w:val="Normal"/>
    <w:link w:val="EncabezadoCar"/>
    <w:unhideWhenUsed/>
    <w:rsid w:val="00714248"/>
    <w:pPr>
      <w:tabs>
        <w:tab w:val="center" w:pos="4252"/>
        <w:tab w:val="right" w:pos="8504"/>
      </w:tabs>
      <w:spacing w:after="0" w:line="240" w:lineRule="auto"/>
    </w:pPr>
  </w:style>
  <w:style w:type="character" w:customStyle="1" w:styleId="EncabezadoCar">
    <w:name w:val="Encabezado Car"/>
    <w:basedOn w:val="Fuentedeprrafopredeter"/>
    <w:link w:val="Encabezado"/>
    <w:rsid w:val="00714248"/>
  </w:style>
  <w:style w:type="paragraph" w:styleId="Piedepgina">
    <w:name w:val="footer"/>
    <w:basedOn w:val="Normal"/>
    <w:link w:val="PiedepginaCar"/>
    <w:uiPriority w:val="99"/>
    <w:unhideWhenUsed/>
    <w:rsid w:val="007142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4248"/>
  </w:style>
  <w:style w:type="table" w:customStyle="1" w:styleId="Tablaconcuadrcula1">
    <w:name w:val="Tabla con cuadrícula1"/>
    <w:basedOn w:val="Tablanormal"/>
    <w:next w:val="Tablaconcuadrcula"/>
    <w:rsid w:val="0071424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400211">
      <w:bodyDiv w:val="1"/>
      <w:marLeft w:val="0"/>
      <w:marRight w:val="0"/>
      <w:marTop w:val="0"/>
      <w:marBottom w:val="0"/>
      <w:divBdr>
        <w:top w:val="none" w:sz="0" w:space="0" w:color="auto"/>
        <w:left w:val="none" w:sz="0" w:space="0" w:color="auto"/>
        <w:bottom w:val="none" w:sz="0" w:space="0" w:color="auto"/>
        <w:right w:val="none" w:sz="0" w:space="0" w:color="auto"/>
      </w:divBdr>
    </w:div>
    <w:div w:id="17235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gae.pap.hacienda.gob.es/sitios/igae/es-ES/Control/CFPyAP/Documents/NORMA%20T%C3%89CNICA%20%20(IRCIA).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F94E56-8FCB-4B00-8C9E-A4C383295935}"/>
</file>

<file path=customXml/itemProps2.xml><?xml version="1.0" encoding="utf-8"?>
<ds:datastoreItem xmlns:ds="http://schemas.openxmlformats.org/officeDocument/2006/customXml" ds:itemID="{DFFBF295-0815-4278-9971-9ED7D1C02009}"/>
</file>

<file path=customXml/itemProps3.xml><?xml version="1.0" encoding="utf-8"?>
<ds:datastoreItem xmlns:ds="http://schemas.openxmlformats.org/officeDocument/2006/customXml" ds:itemID="{68D6370A-9A42-4FDF-AB2A-0CABC293A65F}"/>
</file>

<file path=docProps/app.xml><?xml version="1.0" encoding="utf-8"?>
<Properties xmlns="http://schemas.openxmlformats.org/officeDocument/2006/extended-properties" xmlns:vt="http://schemas.openxmlformats.org/officeDocument/2006/docPropsVTypes">
  <Template>Normal.dotm</Template>
  <TotalTime>85</TotalTime>
  <Pages>3</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Mota Daniel, María Isabel</dc:creator>
  <cp:keywords/>
  <dc:description/>
  <cp:lastModifiedBy>Gómez Calvo, Maria Jose</cp:lastModifiedBy>
  <cp:revision>18</cp:revision>
  <dcterms:created xsi:type="dcterms:W3CDTF">2024-05-20T08:32:00Z</dcterms:created>
  <dcterms:modified xsi:type="dcterms:W3CDTF">2025-06-26T08:23:00Z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