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FF09A" w14:textId="489049A6" w:rsidR="00BE7CA1" w:rsidRPr="005A58D5" w:rsidRDefault="00762032" w:rsidP="00B86792">
      <w:pPr>
        <w:jc w:val="both"/>
        <w:rPr>
          <w:b/>
        </w:rPr>
      </w:pPr>
      <w:r w:rsidRPr="005A58D5">
        <w:rPr>
          <w:b/>
        </w:rPr>
        <w:t>ANEXO II</w:t>
      </w:r>
      <w:r w:rsidR="00B3367E" w:rsidRPr="005A58D5">
        <w:rPr>
          <w:b/>
        </w:rPr>
        <w:t xml:space="preserve"> </w:t>
      </w:r>
      <w:r w:rsidR="005A58D5" w:rsidRPr="005A58D5">
        <w:rPr>
          <w:b/>
        </w:rPr>
        <w:t xml:space="preserve">FASE DE PLANIFICACIÓN: </w:t>
      </w:r>
      <w:r w:rsidR="00E17043" w:rsidRPr="005A58D5">
        <w:rPr>
          <w:b/>
        </w:rPr>
        <w:t>ESTRATEGIA GLOBAL DE AUDITORÍA</w:t>
      </w:r>
      <w:r w:rsidR="00E17043">
        <w:rPr>
          <w:b/>
        </w:rPr>
        <w:t xml:space="preserve"> </w:t>
      </w:r>
    </w:p>
    <w:tbl>
      <w:tblPr>
        <w:tblStyle w:val="Tablaconcuadrcula"/>
        <w:tblW w:w="0" w:type="auto"/>
        <w:tblLook w:val="04A0" w:firstRow="1" w:lastRow="0" w:firstColumn="1" w:lastColumn="0" w:noHBand="0" w:noVBand="1"/>
      </w:tblPr>
      <w:tblGrid>
        <w:gridCol w:w="855"/>
        <w:gridCol w:w="6976"/>
      </w:tblGrid>
      <w:tr w:rsidR="00762032" w14:paraId="393D00FE" w14:textId="77777777" w:rsidTr="00D62FEB">
        <w:tc>
          <w:tcPr>
            <w:tcW w:w="855" w:type="dxa"/>
            <w:shd w:val="clear" w:color="auto" w:fill="F7CAAC" w:themeFill="accent2" w:themeFillTint="66"/>
          </w:tcPr>
          <w:p w14:paraId="143E04E9" w14:textId="77777777" w:rsidR="00762032" w:rsidRDefault="00B3367E" w:rsidP="00B86792">
            <w:pPr>
              <w:jc w:val="both"/>
            </w:pPr>
            <w:r>
              <w:t>II</w:t>
            </w:r>
          </w:p>
        </w:tc>
        <w:tc>
          <w:tcPr>
            <w:tcW w:w="6976" w:type="dxa"/>
            <w:shd w:val="clear" w:color="auto" w:fill="F7CAAC" w:themeFill="accent2" w:themeFillTint="66"/>
          </w:tcPr>
          <w:p w14:paraId="2A4F24A1" w14:textId="77777777" w:rsidR="00762032" w:rsidRDefault="00762032" w:rsidP="00B86792">
            <w:pPr>
              <w:tabs>
                <w:tab w:val="left" w:pos="1455"/>
              </w:tabs>
              <w:jc w:val="both"/>
            </w:pPr>
            <w:r>
              <w:t>REVISIÓN DE LA PLANIFICACIÓN DE LA AUDITORÍA DE CUENTAS</w:t>
            </w:r>
            <w:r w:rsidR="00B3367E">
              <w:t>: ESTRATEGIA GLOBAL</w:t>
            </w:r>
          </w:p>
        </w:tc>
      </w:tr>
      <w:tr w:rsidR="00762032" w14:paraId="1BBC5F3A" w14:textId="77777777" w:rsidTr="00D62FEB">
        <w:tc>
          <w:tcPr>
            <w:tcW w:w="855" w:type="dxa"/>
          </w:tcPr>
          <w:p w14:paraId="745BD534" w14:textId="77777777" w:rsidR="00762032" w:rsidRDefault="00762032" w:rsidP="00B86792">
            <w:pPr>
              <w:jc w:val="both"/>
            </w:pPr>
            <w:r>
              <w:t>1</w:t>
            </w:r>
          </w:p>
        </w:tc>
        <w:tc>
          <w:tcPr>
            <w:tcW w:w="6976" w:type="dxa"/>
          </w:tcPr>
          <w:p w14:paraId="020F304B" w14:textId="77777777" w:rsidR="00762032" w:rsidRDefault="00762032" w:rsidP="00B86792">
            <w:pPr>
              <w:jc w:val="both"/>
            </w:pPr>
            <w:r>
              <w:t>Existe el documento de “Estrategia global”, de forma separada o dentro del Memorando de planificación.</w:t>
            </w:r>
          </w:p>
        </w:tc>
      </w:tr>
      <w:tr w:rsidR="00762032" w14:paraId="4BDC378B" w14:textId="77777777" w:rsidTr="00D62FEB">
        <w:tc>
          <w:tcPr>
            <w:tcW w:w="855" w:type="dxa"/>
          </w:tcPr>
          <w:p w14:paraId="249DED78" w14:textId="77777777" w:rsidR="00762032" w:rsidRDefault="00AA15D7" w:rsidP="00B86792">
            <w:pPr>
              <w:jc w:val="both"/>
            </w:pPr>
            <w:r>
              <w:t>2</w:t>
            </w:r>
          </w:p>
        </w:tc>
        <w:tc>
          <w:tcPr>
            <w:tcW w:w="6976" w:type="dxa"/>
          </w:tcPr>
          <w:p w14:paraId="59ABE451" w14:textId="77777777" w:rsidR="00762032" w:rsidRDefault="00762032" w:rsidP="00B86792">
            <w:pPr>
              <w:jc w:val="both"/>
            </w:pPr>
            <w:r>
              <w:t>La “Estrategia global” contiene, conforme a la NIA-ES-SP 1300 y su anexo:</w:t>
            </w:r>
          </w:p>
          <w:p w14:paraId="3262DB75" w14:textId="77777777" w:rsidR="00762032" w:rsidRDefault="00762032" w:rsidP="00B86792">
            <w:pPr>
              <w:pStyle w:val="Prrafodelista"/>
              <w:numPr>
                <w:ilvl w:val="0"/>
                <w:numId w:val="1"/>
              </w:numPr>
              <w:jc w:val="both"/>
            </w:pPr>
            <w:r>
              <w:t xml:space="preserve">Conocimiento de la entidad, su entorno y marco normativo. </w:t>
            </w:r>
          </w:p>
          <w:p w14:paraId="1589DDCA" w14:textId="77777777" w:rsidR="00762032" w:rsidRDefault="00762032" w:rsidP="00B86792">
            <w:pPr>
              <w:pStyle w:val="Prrafodelista"/>
              <w:numPr>
                <w:ilvl w:val="0"/>
                <w:numId w:val="1"/>
              </w:numPr>
              <w:jc w:val="both"/>
            </w:pPr>
            <w:r>
              <w:t>La identificación de los riesgos y su valoración.</w:t>
            </w:r>
          </w:p>
          <w:p w14:paraId="650E5065" w14:textId="77777777" w:rsidR="00762032" w:rsidRDefault="00762032" w:rsidP="00B86792">
            <w:pPr>
              <w:pStyle w:val="Prrafodelista"/>
              <w:numPr>
                <w:ilvl w:val="0"/>
                <w:numId w:val="1"/>
              </w:numPr>
              <w:jc w:val="both"/>
            </w:pPr>
            <w:r>
              <w:t xml:space="preserve">Procedimientos analíticos empleados en la valoración del riesgo (NIA-ES-SP 1520). </w:t>
            </w:r>
          </w:p>
          <w:p w14:paraId="712F0D80" w14:textId="77777777" w:rsidR="00762032" w:rsidRDefault="00762032" w:rsidP="00B86792">
            <w:pPr>
              <w:pStyle w:val="Prrafodelista"/>
              <w:numPr>
                <w:ilvl w:val="0"/>
                <w:numId w:val="1"/>
              </w:numPr>
              <w:jc w:val="both"/>
            </w:pPr>
            <w:r>
              <w:t>Conocimiento del control interno de la entidad, incluido las tecnologías de la Información (TI). Así como la identificación de los riesgos y su valoración, indicando el grado de confianza que le merece (NIA-ES-SP 1315).</w:t>
            </w:r>
          </w:p>
          <w:p w14:paraId="3525ED66" w14:textId="77777777" w:rsidR="00762032" w:rsidRDefault="00762032" w:rsidP="00B86792">
            <w:pPr>
              <w:pStyle w:val="Prrafodelista"/>
              <w:numPr>
                <w:ilvl w:val="0"/>
                <w:numId w:val="1"/>
              </w:numPr>
              <w:jc w:val="both"/>
            </w:pPr>
            <w:r>
              <w:t>Identificación de riesgos de fraude (NIA-ES-SP 1240).</w:t>
            </w:r>
          </w:p>
          <w:p w14:paraId="0B112C50" w14:textId="77777777" w:rsidR="00762032" w:rsidRDefault="00762032" w:rsidP="00B86792">
            <w:pPr>
              <w:pStyle w:val="Prrafodelista"/>
              <w:numPr>
                <w:ilvl w:val="0"/>
                <w:numId w:val="1"/>
              </w:numPr>
              <w:jc w:val="both"/>
            </w:pPr>
            <w:r>
              <w:t xml:space="preserve">Determinación de la importancia relativa o materialidad según la NIA-ES-SP 1320 y la </w:t>
            </w:r>
            <w:r w:rsidRPr="009620F9">
              <w:t>Norma técnica sobre la importancia relativa o materialidad en las auditorías de los estados financieros del se</w:t>
            </w:r>
            <w:r>
              <w:t>ctor público (18-04-2023).</w:t>
            </w:r>
            <w:r w:rsidR="00A86F97">
              <w:t xml:space="preserve">  En particular la determinación de la CIREF, CIRET y la cifra de incorrección insignificancia y en su caso la </w:t>
            </w:r>
            <w:r w:rsidR="00A86F97" w:rsidRPr="00A86F97">
              <w:t>CIREF-TSI</w:t>
            </w:r>
            <w:r w:rsidR="00A86F97">
              <w:t xml:space="preserve"> y la CIRET-TSI</w:t>
            </w:r>
            <w:r w:rsidR="00593696">
              <w:t>.</w:t>
            </w:r>
          </w:p>
          <w:p w14:paraId="2CDDACC4" w14:textId="77777777" w:rsidR="00762032" w:rsidRDefault="00762032" w:rsidP="00B86792">
            <w:pPr>
              <w:pStyle w:val="Prrafodelista"/>
              <w:numPr>
                <w:ilvl w:val="0"/>
                <w:numId w:val="1"/>
              </w:numPr>
              <w:jc w:val="both"/>
            </w:pPr>
            <w:r>
              <w:t>Determinación de si se considera necesaria la participación de expertos del auditor, según la NIA-ES-SP 1620.</w:t>
            </w:r>
          </w:p>
          <w:p w14:paraId="4F399B6B" w14:textId="77777777" w:rsidR="00762032" w:rsidRDefault="00762032" w:rsidP="00B86792">
            <w:pPr>
              <w:pStyle w:val="Prrafodelista"/>
              <w:numPr>
                <w:ilvl w:val="0"/>
                <w:numId w:val="1"/>
              </w:numPr>
              <w:jc w:val="both"/>
            </w:pPr>
            <w:r>
              <w:t>Identificación de saldos de estados financieros, transacciones, afirmaciones e informaciones a revelar significativas.</w:t>
            </w:r>
          </w:p>
          <w:p w14:paraId="700C24E5" w14:textId="77777777" w:rsidR="00762032" w:rsidRDefault="00762032" w:rsidP="00B86792">
            <w:pPr>
              <w:pStyle w:val="Prrafodelista"/>
              <w:numPr>
                <w:ilvl w:val="0"/>
                <w:numId w:val="1"/>
              </w:numPr>
              <w:jc w:val="both"/>
            </w:pPr>
            <w:r>
              <w:t>Valoración de los riesgos de incorrección material (matriz de riesgos).</w:t>
            </w:r>
          </w:p>
          <w:p w14:paraId="1CF05AE8" w14:textId="77777777" w:rsidR="00762032" w:rsidRDefault="00762032" w:rsidP="00B86792">
            <w:pPr>
              <w:pStyle w:val="Prrafodelista"/>
              <w:numPr>
                <w:ilvl w:val="0"/>
                <w:numId w:val="1"/>
              </w:numPr>
              <w:jc w:val="both"/>
            </w:pPr>
            <w:r>
              <w:t>Comunicación a la entidad de los asuntos relevantes del proceso de planificación.</w:t>
            </w:r>
          </w:p>
        </w:tc>
      </w:tr>
      <w:tr w:rsidR="00AA15D7" w14:paraId="33D941B3" w14:textId="77777777" w:rsidTr="00D62FEB">
        <w:tc>
          <w:tcPr>
            <w:tcW w:w="855" w:type="dxa"/>
          </w:tcPr>
          <w:p w14:paraId="5A4BB15A" w14:textId="77777777" w:rsidR="00AA15D7" w:rsidRPr="00805147" w:rsidRDefault="00AA15D7" w:rsidP="00B86792">
            <w:pPr>
              <w:jc w:val="both"/>
            </w:pPr>
            <w:r>
              <w:t>3</w:t>
            </w:r>
          </w:p>
        </w:tc>
        <w:tc>
          <w:tcPr>
            <w:tcW w:w="6976" w:type="dxa"/>
          </w:tcPr>
          <w:p w14:paraId="24DFAC14" w14:textId="4EE8E747" w:rsidR="00AA15D7" w:rsidRDefault="00AA15D7" w:rsidP="00D66310">
            <w:pPr>
              <w:jc w:val="both"/>
            </w:pPr>
            <w:bookmarkStart w:id="0" w:name="_Hlk201346376"/>
            <w:r w:rsidRPr="00805147">
              <w:t xml:space="preserve">El </w:t>
            </w:r>
            <w:r w:rsidR="00D66310" w:rsidRPr="00805147">
              <w:t>memorando</w:t>
            </w:r>
            <w:r w:rsidRPr="00805147">
              <w:t xml:space="preserve"> de planificación (estrategia global y plan de auditoría) </w:t>
            </w:r>
            <w:bookmarkEnd w:id="0"/>
            <w:r w:rsidRPr="00805147">
              <w:t>y, en su caso, sus modificaciones</w:t>
            </w:r>
            <w:r w:rsidR="00D66310">
              <w:t>,</w:t>
            </w:r>
            <w:r w:rsidRPr="00805147">
              <w:t xml:space="preserve"> </w:t>
            </w:r>
            <w:r w:rsidR="00D66310">
              <w:t xml:space="preserve">elaborados por el auditor colaborador, </w:t>
            </w:r>
            <w:r w:rsidRPr="00805147">
              <w:t>han sido aprobadas por el</w:t>
            </w:r>
            <w:r w:rsidR="0021433A">
              <w:t xml:space="preserve"> órgano interventor de la</w:t>
            </w:r>
            <w:r w:rsidR="00B86792">
              <w:t xml:space="preserve"> entidad local</w:t>
            </w:r>
            <w:r w:rsidRPr="00805147">
              <w:t xml:space="preserve"> y lo ha comunicado al auditor colaborador.</w:t>
            </w:r>
            <w:r w:rsidR="00D66310">
              <w:t xml:space="preserve"> El memorando de planificación lleva como anexo una matriz de riesgos. Esta recoge en un único documento, los riesgos identificados durante el proceso de planificación, los procedimientos que se han de realizar para su análisis, las conclusiones que se obtienen de los mismos y la valoración de inclusión, o no, en el informe de auditoría, ya sea como salvedad, como incertidumbre material relacionada con la empresa en funcionamiento o como una cuestión clave de auditoría.</w:t>
            </w:r>
          </w:p>
        </w:tc>
      </w:tr>
      <w:tr w:rsidR="0057089C" w14:paraId="36F4D89D" w14:textId="77777777" w:rsidTr="00B86792">
        <w:trPr>
          <w:trHeight w:val="1136"/>
        </w:trPr>
        <w:tc>
          <w:tcPr>
            <w:tcW w:w="855" w:type="dxa"/>
          </w:tcPr>
          <w:p w14:paraId="30BA3FFA" w14:textId="77777777" w:rsidR="0057089C" w:rsidRDefault="0057089C" w:rsidP="00B86792">
            <w:pPr>
              <w:jc w:val="both"/>
            </w:pPr>
            <w:r>
              <w:t>4</w:t>
            </w:r>
          </w:p>
        </w:tc>
        <w:tc>
          <w:tcPr>
            <w:tcW w:w="6976" w:type="dxa"/>
          </w:tcPr>
          <w:p w14:paraId="74352C63" w14:textId="39FA93E2" w:rsidR="0057089C" w:rsidRPr="00805147" w:rsidRDefault="001D6AB3" w:rsidP="00B86792">
            <w:pPr>
              <w:jc w:val="both"/>
            </w:pPr>
            <w:r>
              <w:t xml:space="preserve">El memorando de planificación (estrategia global y plan de auditoría) y, en su caso, sus modificaciones, es el documento necesario que engloba la estrategia global y el plan de auditoría, por lo que sería suficiente con la cumplimentación de este </w:t>
            </w:r>
            <w:r w:rsidR="007D092A">
              <w:t xml:space="preserve">documento </w:t>
            </w:r>
            <w:r>
              <w:t>en base a ANEXOS II y III</w:t>
            </w:r>
            <w:r w:rsidR="00D66310">
              <w:t>, anexada la matriz de riesgos</w:t>
            </w:r>
            <w:r>
              <w:t>.</w:t>
            </w:r>
          </w:p>
        </w:tc>
      </w:tr>
    </w:tbl>
    <w:p w14:paraId="597C40A6" w14:textId="34DE7C15" w:rsidR="001D6AB3" w:rsidRDefault="001D6AB3" w:rsidP="000576F0">
      <w:pPr>
        <w:jc w:val="both"/>
      </w:pPr>
    </w:p>
    <w:sectPr w:rsidR="001D6AB3" w:rsidSect="000576F0">
      <w:footerReference w:type="default" r:id="rId7"/>
      <w:headerReference w:type="first" r:id="rId8"/>
      <w:footerReference w:type="first" r:id="rId9"/>
      <w:pgSz w:w="11906" w:h="16838"/>
      <w:pgMar w:top="993" w:right="1701" w:bottom="1417" w:left="1701"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394DE" w14:textId="77777777" w:rsidR="000576F0" w:rsidRDefault="000576F0" w:rsidP="000576F0">
      <w:pPr>
        <w:spacing w:after="0" w:line="240" w:lineRule="auto"/>
      </w:pPr>
      <w:r>
        <w:separator/>
      </w:r>
    </w:p>
  </w:endnote>
  <w:endnote w:type="continuationSeparator" w:id="0">
    <w:p w14:paraId="165E34A8" w14:textId="77777777" w:rsidR="000576F0" w:rsidRDefault="000576F0" w:rsidP="00057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rison Light Sans">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1002" w:tblpY="1"/>
      <w:tblOverlap w:val="never"/>
      <w:tblW w:w="10768" w:type="dxa"/>
      <w:tblBorders>
        <w:insideV w:val="single" w:sz="4" w:space="0" w:color="auto"/>
      </w:tblBorders>
      <w:tblCellMar>
        <w:left w:w="70" w:type="dxa"/>
        <w:right w:w="70" w:type="dxa"/>
      </w:tblCellMar>
      <w:tblLook w:val="0000" w:firstRow="0" w:lastRow="0" w:firstColumn="0" w:lastColumn="0" w:noHBand="0" w:noVBand="0"/>
    </w:tblPr>
    <w:tblGrid>
      <w:gridCol w:w="1915"/>
      <w:gridCol w:w="1262"/>
      <w:gridCol w:w="5465"/>
      <w:gridCol w:w="2126"/>
    </w:tblGrid>
    <w:tr w:rsidR="000576F0" w:rsidRPr="005448A7" w14:paraId="772E49B4" w14:textId="77777777" w:rsidTr="004B620A">
      <w:trPr>
        <w:trHeight w:val="85"/>
      </w:trPr>
      <w:tc>
        <w:tcPr>
          <w:tcW w:w="1915" w:type="dxa"/>
          <w:tcBorders>
            <w:top w:val="nil"/>
            <w:left w:val="nil"/>
            <w:bottom w:val="nil"/>
            <w:right w:val="nil"/>
          </w:tcBorders>
          <w:vAlign w:val="bottom"/>
        </w:tcPr>
        <w:p w14:paraId="186BE397" w14:textId="77777777" w:rsidR="000576F0" w:rsidRPr="005448A7" w:rsidRDefault="000576F0" w:rsidP="000576F0">
          <w:pPr>
            <w:tabs>
              <w:tab w:val="left" w:pos="1021"/>
            </w:tabs>
            <w:spacing w:after="0" w:line="240" w:lineRule="auto"/>
            <w:ind w:right="-852"/>
            <w:rPr>
              <w:rFonts w:ascii="Gill Sans MT" w:eastAsia="Times New Roman" w:hAnsi="Gill Sans MT" w:cs="Arial"/>
              <w:sz w:val="14"/>
              <w:szCs w:val="20"/>
              <w:lang w:val="es-ES_tradnl" w:eastAsia="es-ES"/>
            </w:rPr>
          </w:pPr>
        </w:p>
      </w:tc>
      <w:tc>
        <w:tcPr>
          <w:tcW w:w="6727" w:type="dxa"/>
          <w:gridSpan w:val="2"/>
          <w:tcBorders>
            <w:top w:val="nil"/>
            <w:left w:val="nil"/>
            <w:bottom w:val="nil"/>
            <w:right w:val="single" w:sz="6" w:space="0" w:color="auto"/>
          </w:tcBorders>
          <w:vAlign w:val="bottom"/>
        </w:tcPr>
        <w:p w14:paraId="7E06D059" w14:textId="77777777" w:rsidR="000576F0" w:rsidRPr="005448A7" w:rsidRDefault="000576F0" w:rsidP="000576F0">
          <w:pPr>
            <w:tabs>
              <w:tab w:val="left" w:pos="1021"/>
              <w:tab w:val="left" w:pos="8080"/>
            </w:tabs>
            <w:spacing w:after="0" w:line="240" w:lineRule="auto"/>
            <w:ind w:left="709" w:right="-852"/>
            <w:rPr>
              <w:rFonts w:ascii="Gill Sans MT" w:eastAsia="Times New Roman" w:hAnsi="Gill Sans MT" w:cs="Arial"/>
              <w:sz w:val="14"/>
              <w:szCs w:val="20"/>
              <w:lang w:val="es-ES_tradnl" w:eastAsia="es-ES"/>
            </w:rPr>
          </w:pPr>
        </w:p>
      </w:tc>
      <w:tc>
        <w:tcPr>
          <w:tcW w:w="2126" w:type="dxa"/>
          <w:vMerge w:val="restart"/>
          <w:tcBorders>
            <w:left w:val="single" w:sz="6" w:space="0" w:color="auto"/>
          </w:tcBorders>
        </w:tcPr>
        <w:p w14:paraId="6673E4E2" w14:textId="77777777" w:rsidR="000576F0" w:rsidRPr="005448A7" w:rsidRDefault="000576F0" w:rsidP="000576F0">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 xml:space="preserve">C/ MATEO INURRIA </w:t>
          </w:r>
          <w:proofErr w:type="spellStart"/>
          <w:r w:rsidRPr="005448A7">
            <w:rPr>
              <w:rFonts w:ascii="Gill Sans MT" w:eastAsia="Times New Roman" w:hAnsi="Gill Sans MT" w:cs="Arial"/>
              <w:sz w:val="14"/>
              <w:szCs w:val="20"/>
              <w:lang w:val="es-ES_tradnl" w:eastAsia="es-ES"/>
            </w:rPr>
            <w:t>Nº</w:t>
          </w:r>
          <w:proofErr w:type="spellEnd"/>
          <w:r w:rsidRPr="005448A7">
            <w:rPr>
              <w:rFonts w:ascii="Gill Sans MT" w:eastAsia="Times New Roman" w:hAnsi="Gill Sans MT" w:cs="Arial"/>
              <w:sz w:val="14"/>
              <w:szCs w:val="20"/>
              <w:lang w:val="es-ES_tradnl" w:eastAsia="es-ES"/>
            </w:rPr>
            <w:t xml:space="preserve"> 15</w:t>
          </w:r>
        </w:p>
        <w:p w14:paraId="0720AA5E" w14:textId="77777777" w:rsidR="000576F0" w:rsidRPr="005448A7" w:rsidRDefault="000576F0" w:rsidP="000576F0">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28036-MADRID</w:t>
          </w:r>
        </w:p>
        <w:p w14:paraId="0B3479B8" w14:textId="77777777" w:rsidR="000576F0" w:rsidRPr="005448A7" w:rsidRDefault="000576F0" w:rsidP="000576F0">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TEL: 91 536.70.72</w:t>
          </w:r>
        </w:p>
      </w:tc>
    </w:tr>
    <w:tr w:rsidR="000576F0" w:rsidRPr="005448A7" w14:paraId="1F5F1546" w14:textId="77777777" w:rsidTr="004B620A">
      <w:trPr>
        <w:trHeight w:val="98"/>
      </w:trPr>
      <w:tc>
        <w:tcPr>
          <w:tcW w:w="3177" w:type="dxa"/>
          <w:gridSpan w:val="2"/>
          <w:tcBorders>
            <w:top w:val="nil"/>
            <w:right w:val="nil"/>
          </w:tcBorders>
          <w:vAlign w:val="bottom"/>
        </w:tcPr>
        <w:p w14:paraId="45CE71A1" w14:textId="77777777" w:rsidR="000576F0" w:rsidRPr="005448A7" w:rsidRDefault="000576F0" w:rsidP="000576F0">
          <w:pPr>
            <w:tabs>
              <w:tab w:val="left" w:pos="1021"/>
              <w:tab w:val="left" w:pos="8080"/>
            </w:tabs>
            <w:spacing w:after="0" w:line="240" w:lineRule="auto"/>
            <w:ind w:right="-852"/>
            <w:rPr>
              <w:rFonts w:ascii="Gill Sans MT" w:eastAsia="Times New Roman" w:hAnsi="Gill Sans MT" w:cs="Arial"/>
              <w:sz w:val="14"/>
              <w:szCs w:val="20"/>
              <w:lang w:val="es-ES_tradnl" w:eastAsia="es-ES"/>
            </w:rPr>
          </w:pPr>
        </w:p>
      </w:tc>
      <w:tc>
        <w:tcPr>
          <w:tcW w:w="5465" w:type="dxa"/>
          <w:tcBorders>
            <w:top w:val="nil"/>
            <w:left w:val="nil"/>
            <w:right w:val="single" w:sz="6" w:space="0" w:color="auto"/>
          </w:tcBorders>
          <w:vAlign w:val="bottom"/>
        </w:tcPr>
        <w:p w14:paraId="1BEA156B" w14:textId="77777777" w:rsidR="000576F0" w:rsidRPr="005448A7" w:rsidRDefault="000576F0" w:rsidP="000576F0">
          <w:pPr>
            <w:tabs>
              <w:tab w:val="left" w:pos="1057"/>
              <w:tab w:val="left" w:pos="1564"/>
              <w:tab w:val="left" w:pos="8080"/>
            </w:tabs>
            <w:spacing w:after="0" w:line="240" w:lineRule="auto"/>
            <w:ind w:right="71"/>
            <w:rPr>
              <w:rFonts w:ascii="Arial" w:eastAsia="Times New Roman" w:hAnsi="Arial" w:cs="Arial"/>
              <w:sz w:val="18"/>
              <w:szCs w:val="18"/>
              <w:lang w:val="es-ES_tradnl" w:eastAsia="es-ES"/>
            </w:rPr>
          </w:pPr>
          <w:r>
            <w:rPr>
              <w:rFonts w:ascii="Arial" w:hAnsi="Arial" w:cs="Arial"/>
              <w:sz w:val="18"/>
              <w:szCs w:val="18"/>
              <w:lang w:val="es-ES_tradnl"/>
            </w:rPr>
            <w:tab/>
          </w:r>
          <w:r w:rsidRPr="005448A7">
            <w:rPr>
              <w:rFonts w:ascii="Arial" w:hAnsi="Arial" w:cs="Arial"/>
              <w:sz w:val="18"/>
              <w:szCs w:val="18"/>
              <w:lang w:val="es-ES_tradnl"/>
            </w:rPr>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Pr>
              <w:rFonts w:ascii="Arial" w:hAnsi="Arial" w:cs="Arial"/>
              <w:sz w:val="18"/>
              <w:szCs w:val="18"/>
              <w:lang w:val="es-ES_tradnl"/>
            </w:rPr>
            <w:t>2</w:t>
          </w:r>
          <w:r w:rsidRPr="005448A7">
            <w:rPr>
              <w:rFonts w:ascii="Arial" w:hAnsi="Arial" w:cs="Arial"/>
              <w:sz w:val="18"/>
              <w:szCs w:val="18"/>
              <w:lang w:val="es-ES_tradnl"/>
            </w:rPr>
            <w:fldChar w:fldCharType="end"/>
          </w:r>
        </w:p>
      </w:tc>
      <w:tc>
        <w:tcPr>
          <w:tcW w:w="2126" w:type="dxa"/>
          <w:vMerge/>
          <w:tcBorders>
            <w:left w:val="single" w:sz="6" w:space="0" w:color="auto"/>
          </w:tcBorders>
        </w:tcPr>
        <w:p w14:paraId="7E445ADF" w14:textId="77777777" w:rsidR="000576F0" w:rsidRPr="005448A7" w:rsidRDefault="000576F0" w:rsidP="000576F0">
          <w:pPr>
            <w:tabs>
              <w:tab w:val="left" w:pos="8080"/>
            </w:tabs>
            <w:spacing w:after="0" w:line="240" w:lineRule="auto"/>
            <w:rPr>
              <w:rFonts w:ascii="Gill Sans MT" w:eastAsia="Times New Roman" w:hAnsi="Gill Sans MT" w:cs="Arial"/>
              <w:sz w:val="14"/>
              <w:szCs w:val="20"/>
              <w:lang w:val="es-ES_tradnl" w:eastAsia="es-ES"/>
            </w:rPr>
          </w:pPr>
        </w:p>
      </w:tc>
    </w:tr>
  </w:tbl>
  <w:p w14:paraId="128145B8" w14:textId="77777777" w:rsidR="000576F0" w:rsidRDefault="000576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1002" w:tblpY="1"/>
      <w:tblOverlap w:val="never"/>
      <w:tblW w:w="10768" w:type="dxa"/>
      <w:tblBorders>
        <w:insideV w:val="single" w:sz="4" w:space="0" w:color="auto"/>
      </w:tblBorders>
      <w:tblCellMar>
        <w:left w:w="70" w:type="dxa"/>
        <w:right w:w="70" w:type="dxa"/>
      </w:tblCellMar>
      <w:tblLook w:val="0000" w:firstRow="0" w:lastRow="0" w:firstColumn="0" w:lastColumn="0" w:noHBand="0" w:noVBand="0"/>
    </w:tblPr>
    <w:tblGrid>
      <w:gridCol w:w="1915"/>
      <w:gridCol w:w="1262"/>
      <w:gridCol w:w="5465"/>
      <w:gridCol w:w="2126"/>
    </w:tblGrid>
    <w:tr w:rsidR="000576F0" w:rsidRPr="005448A7" w14:paraId="0BBDA96B" w14:textId="77777777" w:rsidTr="004B620A">
      <w:trPr>
        <w:trHeight w:val="85"/>
      </w:trPr>
      <w:tc>
        <w:tcPr>
          <w:tcW w:w="1915" w:type="dxa"/>
          <w:tcBorders>
            <w:top w:val="nil"/>
            <w:left w:val="nil"/>
            <w:bottom w:val="nil"/>
            <w:right w:val="nil"/>
          </w:tcBorders>
          <w:vAlign w:val="bottom"/>
        </w:tcPr>
        <w:p w14:paraId="6FD1B4F2" w14:textId="77777777" w:rsidR="000576F0" w:rsidRPr="005448A7" w:rsidRDefault="000576F0" w:rsidP="000576F0">
          <w:pPr>
            <w:tabs>
              <w:tab w:val="left" w:pos="1021"/>
            </w:tabs>
            <w:spacing w:after="0" w:line="240" w:lineRule="auto"/>
            <w:ind w:right="-852"/>
            <w:rPr>
              <w:rFonts w:ascii="Gill Sans MT" w:eastAsia="Times New Roman" w:hAnsi="Gill Sans MT" w:cs="Arial"/>
              <w:sz w:val="14"/>
              <w:szCs w:val="20"/>
              <w:lang w:val="es-ES_tradnl" w:eastAsia="es-ES"/>
            </w:rPr>
          </w:pPr>
        </w:p>
      </w:tc>
      <w:tc>
        <w:tcPr>
          <w:tcW w:w="6727" w:type="dxa"/>
          <w:gridSpan w:val="2"/>
          <w:tcBorders>
            <w:top w:val="nil"/>
            <w:left w:val="nil"/>
            <w:bottom w:val="nil"/>
            <w:right w:val="single" w:sz="6" w:space="0" w:color="auto"/>
          </w:tcBorders>
          <w:vAlign w:val="bottom"/>
        </w:tcPr>
        <w:p w14:paraId="5B17A9FD" w14:textId="77777777" w:rsidR="000576F0" w:rsidRPr="005448A7" w:rsidRDefault="000576F0" w:rsidP="000576F0">
          <w:pPr>
            <w:tabs>
              <w:tab w:val="left" w:pos="1021"/>
              <w:tab w:val="left" w:pos="8080"/>
            </w:tabs>
            <w:spacing w:after="0" w:line="240" w:lineRule="auto"/>
            <w:ind w:left="709" w:right="-852"/>
            <w:rPr>
              <w:rFonts w:ascii="Gill Sans MT" w:eastAsia="Times New Roman" w:hAnsi="Gill Sans MT" w:cs="Arial"/>
              <w:sz w:val="14"/>
              <w:szCs w:val="20"/>
              <w:lang w:val="es-ES_tradnl" w:eastAsia="es-ES"/>
            </w:rPr>
          </w:pPr>
        </w:p>
      </w:tc>
      <w:tc>
        <w:tcPr>
          <w:tcW w:w="2126" w:type="dxa"/>
          <w:vMerge w:val="restart"/>
          <w:tcBorders>
            <w:left w:val="single" w:sz="6" w:space="0" w:color="auto"/>
          </w:tcBorders>
        </w:tcPr>
        <w:p w14:paraId="35E13557" w14:textId="77777777" w:rsidR="000576F0" w:rsidRPr="005448A7" w:rsidRDefault="000576F0" w:rsidP="000576F0">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 xml:space="preserve">C/ MATEO INURRIA </w:t>
          </w:r>
          <w:proofErr w:type="spellStart"/>
          <w:r w:rsidRPr="005448A7">
            <w:rPr>
              <w:rFonts w:ascii="Gill Sans MT" w:eastAsia="Times New Roman" w:hAnsi="Gill Sans MT" w:cs="Arial"/>
              <w:sz w:val="14"/>
              <w:szCs w:val="20"/>
              <w:lang w:val="es-ES_tradnl" w:eastAsia="es-ES"/>
            </w:rPr>
            <w:t>Nº</w:t>
          </w:r>
          <w:proofErr w:type="spellEnd"/>
          <w:r w:rsidRPr="005448A7">
            <w:rPr>
              <w:rFonts w:ascii="Gill Sans MT" w:eastAsia="Times New Roman" w:hAnsi="Gill Sans MT" w:cs="Arial"/>
              <w:sz w:val="14"/>
              <w:szCs w:val="20"/>
              <w:lang w:val="es-ES_tradnl" w:eastAsia="es-ES"/>
            </w:rPr>
            <w:t xml:space="preserve"> 15</w:t>
          </w:r>
        </w:p>
        <w:p w14:paraId="1BC809B3" w14:textId="77777777" w:rsidR="000576F0" w:rsidRPr="005448A7" w:rsidRDefault="000576F0" w:rsidP="000576F0">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28036-MADRID</w:t>
          </w:r>
        </w:p>
        <w:p w14:paraId="6428C941" w14:textId="77777777" w:rsidR="000576F0" w:rsidRPr="005448A7" w:rsidRDefault="000576F0" w:rsidP="000576F0">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TEL: 91 536.70.72</w:t>
          </w:r>
        </w:p>
      </w:tc>
    </w:tr>
    <w:tr w:rsidR="000576F0" w:rsidRPr="005448A7" w14:paraId="2345403D" w14:textId="77777777" w:rsidTr="004B620A">
      <w:trPr>
        <w:trHeight w:val="98"/>
      </w:trPr>
      <w:tc>
        <w:tcPr>
          <w:tcW w:w="3177" w:type="dxa"/>
          <w:gridSpan w:val="2"/>
          <w:tcBorders>
            <w:top w:val="nil"/>
            <w:right w:val="nil"/>
          </w:tcBorders>
          <w:vAlign w:val="bottom"/>
        </w:tcPr>
        <w:p w14:paraId="06192971" w14:textId="77777777" w:rsidR="000576F0" w:rsidRPr="005448A7" w:rsidRDefault="000576F0" w:rsidP="000576F0">
          <w:pPr>
            <w:tabs>
              <w:tab w:val="left" w:pos="1021"/>
              <w:tab w:val="left" w:pos="8080"/>
            </w:tabs>
            <w:spacing w:after="0" w:line="240" w:lineRule="auto"/>
            <w:ind w:right="-852"/>
            <w:rPr>
              <w:rFonts w:ascii="Gill Sans MT" w:eastAsia="Times New Roman" w:hAnsi="Gill Sans MT" w:cs="Arial"/>
              <w:sz w:val="14"/>
              <w:szCs w:val="20"/>
              <w:lang w:val="es-ES_tradnl" w:eastAsia="es-ES"/>
            </w:rPr>
          </w:pPr>
        </w:p>
      </w:tc>
      <w:tc>
        <w:tcPr>
          <w:tcW w:w="5465" w:type="dxa"/>
          <w:tcBorders>
            <w:top w:val="nil"/>
            <w:left w:val="nil"/>
            <w:right w:val="single" w:sz="6" w:space="0" w:color="auto"/>
          </w:tcBorders>
          <w:vAlign w:val="bottom"/>
        </w:tcPr>
        <w:p w14:paraId="0E57970A" w14:textId="77777777" w:rsidR="000576F0" w:rsidRPr="005448A7" w:rsidRDefault="000576F0" w:rsidP="000576F0">
          <w:pPr>
            <w:tabs>
              <w:tab w:val="left" w:pos="1057"/>
              <w:tab w:val="left" w:pos="1564"/>
              <w:tab w:val="left" w:pos="8080"/>
            </w:tabs>
            <w:spacing w:after="0" w:line="240" w:lineRule="auto"/>
            <w:ind w:right="71"/>
            <w:rPr>
              <w:rFonts w:ascii="Arial" w:eastAsia="Times New Roman" w:hAnsi="Arial" w:cs="Arial"/>
              <w:sz w:val="18"/>
              <w:szCs w:val="18"/>
              <w:lang w:val="es-ES_tradnl" w:eastAsia="es-ES"/>
            </w:rPr>
          </w:pPr>
          <w:r>
            <w:rPr>
              <w:rFonts w:ascii="Arial" w:hAnsi="Arial" w:cs="Arial"/>
              <w:sz w:val="18"/>
              <w:szCs w:val="18"/>
              <w:lang w:val="es-ES_tradnl"/>
            </w:rPr>
            <w:tab/>
          </w:r>
          <w:r w:rsidRPr="005448A7">
            <w:rPr>
              <w:rFonts w:ascii="Arial" w:hAnsi="Arial" w:cs="Arial"/>
              <w:sz w:val="18"/>
              <w:szCs w:val="18"/>
              <w:lang w:val="es-ES_tradnl"/>
            </w:rPr>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Pr>
              <w:rFonts w:ascii="Arial" w:hAnsi="Arial" w:cs="Arial"/>
              <w:sz w:val="18"/>
              <w:szCs w:val="18"/>
              <w:lang w:val="es-ES_tradnl"/>
            </w:rPr>
            <w:t>2</w:t>
          </w:r>
          <w:r w:rsidRPr="005448A7">
            <w:rPr>
              <w:rFonts w:ascii="Arial" w:hAnsi="Arial" w:cs="Arial"/>
              <w:sz w:val="18"/>
              <w:szCs w:val="18"/>
              <w:lang w:val="es-ES_tradnl"/>
            </w:rPr>
            <w:fldChar w:fldCharType="end"/>
          </w:r>
        </w:p>
      </w:tc>
      <w:tc>
        <w:tcPr>
          <w:tcW w:w="2126" w:type="dxa"/>
          <w:vMerge/>
          <w:tcBorders>
            <w:left w:val="single" w:sz="6" w:space="0" w:color="auto"/>
          </w:tcBorders>
        </w:tcPr>
        <w:p w14:paraId="514A1CF2" w14:textId="77777777" w:rsidR="000576F0" w:rsidRPr="005448A7" w:rsidRDefault="000576F0" w:rsidP="000576F0">
          <w:pPr>
            <w:tabs>
              <w:tab w:val="left" w:pos="8080"/>
            </w:tabs>
            <w:spacing w:after="0" w:line="240" w:lineRule="auto"/>
            <w:rPr>
              <w:rFonts w:ascii="Gill Sans MT" w:eastAsia="Times New Roman" w:hAnsi="Gill Sans MT" w:cs="Arial"/>
              <w:sz w:val="14"/>
              <w:szCs w:val="20"/>
              <w:lang w:val="es-ES_tradnl" w:eastAsia="es-ES"/>
            </w:rPr>
          </w:pPr>
        </w:p>
      </w:tc>
    </w:tr>
  </w:tbl>
  <w:p w14:paraId="4B937681" w14:textId="77777777" w:rsidR="000576F0" w:rsidRDefault="000576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27E87" w14:textId="77777777" w:rsidR="000576F0" w:rsidRDefault="000576F0" w:rsidP="000576F0">
      <w:pPr>
        <w:spacing w:after="0" w:line="240" w:lineRule="auto"/>
      </w:pPr>
      <w:r>
        <w:separator/>
      </w:r>
    </w:p>
  </w:footnote>
  <w:footnote w:type="continuationSeparator" w:id="0">
    <w:p w14:paraId="2B7109F1" w14:textId="77777777" w:rsidR="000576F0" w:rsidRDefault="000576F0" w:rsidP="00057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2" w:type="dxa"/>
      <w:jc w:val="center"/>
      <w:tblLayout w:type="fixed"/>
      <w:tblCellMar>
        <w:left w:w="70" w:type="dxa"/>
        <w:right w:w="70" w:type="dxa"/>
      </w:tblCellMar>
      <w:tblLook w:val="0000" w:firstRow="0" w:lastRow="0" w:firstColumn="0" w:lastColumn="0" w:noHBand="0" w:noVBand="0"/>
    </w:tblPr>
    <w:tblGrid>
      <w:gridCol w:w="1510"/>
      <w:gridCol w:w="6176"/>
      <w:gridCol w:w="3156"/>
    </w:tblGrid>
    <w:tr w:rsidR="000576F0" w:rsidRPr="005448A7" w14:paraId="6DA52C7A" w14:textId="77777777" w:rsidTr="004B620A">
      <w:trPr>
        <w:cantSplit/>
        <w:trHeight w:val="490"/>
        <w:jc w:val="center"/>
      </w:trPr>
      <w:tc>
        <w:tcPr>
          <w:tcW w:w="1510" w:type="dxa"/>
          <w:vMerge w:val="restart"/>
        </w:tcPr>
        <w:p w14:paraId="5F35A1C0" w14:textId="77777777" w:rsidR="000576F0" w:rsidRPr="005448A7" w:rsidRDefault="000576F0" w:rsidP="000576F0">
          <w:pPr>
            <w:tabs>
              <w:tab w:val="right" w:pos="8504"/>
            </w:tabs>
            <w:spacing w:before="780" w:after="60" w:line="240" w:lineRule="auto"/>
            <w:ind w:right="-68"/>
            <w:jc w:val="center"/>
            <w:rPr>
              <w:rFonts w:ascii="Garrison Light Sans" w:eastAsia="Times New Roman" w:hAnsi="Garrison Light Sans" w:cs="Times New Roman"/>
              <w:b/>
              <w:sz w:val="24"/>
              <w:szCs w:val="20"/>
              <w:lang w:val="es-ES_tradnl" w:eastAsia="es-ES"/>
            </w:rPr>
          </w:pPr>
          <w:r w:rsidRPr="005448A7">
            <w:rPr>
              <w:rFonts w:ascii="Arial" w:eastAsia="Times New Roman" w:hAnsi="Arial" w:cs="Times New Roman"/>
              <w:noProof/>
              <w:sz w:val="24"/>
              <w:szCs w:val="20"/>
              <w:lang w:eastAsia="es-ES"/>
            </w:rPr>
            <w:drawing>
              <wp:inline distT="0" distB="0" distL="0" distR="0" wp14:anchorId="40355E40" wp14:editId="5A6D810F">
                <wp:extent cx="846455" cy="798195"/>
                <wp:effectExtent l="0" t="0" r="0" b="0"/>
                <wp:docPr id="76198481" name="Imagen 76198481"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6176" w:type="dxa"/>
        </w:tcPr>
        <w:p w14:paraId="278B19D2" w14:textId="77777777" w:rsidR="000576F0" w:rsidRPr="005448A7" w:rsidRDefault="000576F0" w:rsidP="000576F0">
          <w:pPr>
            <w:tabs>
              <w:tab w:val="left" w:pos="5387"/>
              <w:tab w:val="right" w:pos="8504"/>
            </w:tabs>
            <w:spacing w:after="0" w:line="240" w:lineRule="auto"/>
            <w:ind w:left="-70"/>
            <w:rPr>
              <w:rFonts w:ascii="Garrison Light Sans" w:eastAsia="Times New Roman" w:hAnsi="Garrison Light Sans" w:cs="Times New Roman"/>
              <w:b/>
              <w:sz w:val="14"/>
              <w:szCs w:val="20"/>
              <w:lang w:val="es-ES_tradnl" w:eastAsia="es-ES"/>
            </w:rPr>
          </w:pPr>
        </w:p>
      </w:tc>
      <w:tc>
        <w:tcPr>
          <w:tcW w:w="3156" w:type="dxa"/>
        </w:tcPr>
        <w:p w14:paraId="1E6A4351" w14:textId="77777777" w:rsidR="000576F0" w:rsidRPr="005448A7" w:rsidRDefault="000576F0" w:rsidP="000576F0">
          <w:pPr>
            <w:spacing w:before="600" w:after="0" w:line="160" w:lineRule="exact"/>
            <w:ind w:left="108"/>
            <w:rPr>
              <w:rFonts w:ascii="Gill Sans MT" w:eastAsia="Times New Roman" w:hAnsi="Gill Sans MT" w:cs="Times New Roman"/>
              <w:sz w:val="14"/>
              <w:szCs w:val="14"/>
              <w:lang w:eastAsia="es-ES"/>
            </w:rPr>
          </w:pPr>
        </w:p>
      </w:tc>
    </w:tr>
    <w:tr w:rsidR="000576F0" w:rsidRPr="005448A7" w14:paraId="0C0F40CB" w14:textId="77777777" w:rsidTr="004B620A">
      <w:trPr>
        <w:cantSplit/>
        <w:trHeight w:val="1017"/>
        <w:jc w:val="center"/>
      </w:trPr>
      <w:tc>
        <w:tcPr>
          <w:tcW w:w="1510" w:type="dxa"/>
          <w:vMerge/>
        </w:tcPr>
        <w:p w14:paraId="74A82B0B" w14:textId="77777777" w:rsidR="000576F0" w:rsidRPr="005448A7" w:rsidRDefault="000576F0" w:rsidP="000576F0">
          <w:pPr>
            <w:tabs>
              <w:tab w:val="right" w:pos="8504"/>
            </w:tabs>
            <w:spacing w:before="120" w:after="60" w:line="240" w:lineRule="auto"/>
            <w:ind w:right="-70"/>
            <w:rPr>
              <w:rFonts w:ascii="Garrison Light Sans" w:eastAsia="Times New Roman" w:hAnsi="Garrison Light Sans" w:cs="Times New Roman"/>
              <w:b/>
              <w:sz w:val="24"/>
              <w:szCs w:val="20"/>
              <w:lang w:val="es-ES_tradnl" w:eastAsia="es-ES"/>
            </w:rPr>
          </w:pPr>
        </w:p>
      </w:tc>
      <w:tc>
        <w:tcPr>
          <w:tcW w:w="6176" w:type="dxa"/>
        </w:tcPr>
        <w:p w14:paraId="72884665" w14:textId="77777777" w:rsidR="000576F0" w:rsidRPr="005448A7" w:rsidRDefault="000576F0" w:rsidP="000576F0">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VICEPRESIDENCIA</w:t>
          </w:r>
        </w:p>
        <w:p w14:paraId="71018534" w14:textId="77777777" w:rsidR="000576F0" w:rsidRPr="005448A7" w:rsidRDefault="000576F0" w:rsidP="000576F0">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PRIMERA DEL GOBIERNO</w:t>
          </w:r>
        </w:p>
        <w:p w14:paraId="6260071C" w14:textId="77777777" w:rsidR="000576F0" w:rsidRPr="005448A7" w:rsidRDefault="000576F0" w:rsidP="000576F0">
          <w:pPr>
            <w:tabs>
              <w:tab w:val="center" w:pos="4252"/>
              <w:tab w:val="right" w:pos="8504"/>
            </w:tabs>
            <w:spacing w:before="240"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MINISTERIO</w:t>
          </w:r>
        </w:p>
        <w:p w14:paraId="18FDBAAE" w14:textId="77777777" w:rsidR="000576F0" w:rsidRPr="005448A7" w:rsidRDefault="000576F0" w:rsidP="000576F0">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DE HACIENDA</w:t>
          </w:r>
        </w:p>
        <w:p w14:paraId="58EF6234" w14:textId="77777777" w:rsidR="000576F0" w:rsidRPr="005448A7" w:rsidRDefault="000576F0" w:rsidP="000576F0">
          <w:pPr>
            <w:tabs>
              <w:tab w:val="left" w:pos="5387"/>
              <w:tab w:val="right" w:pos="8504"/>
            </w:tabs>
            <w:spacing w:after="0" w:line="240" w:lineRule="auto"/>
            <w:ind w:right="-1"/>
            <w:rPr>
              <w:rFonts w:ascii="Garrison Light Sans" w:eastAsia="Times New Roman" w:hAnsi="Garrison Light Sans" w:cs="Times New Roman"/>
              <w:b/>
              <w:sz w:val="4"/>
              <w:szCs w:val="20"/>
              <w:lang w:val="es-ES_tradnl" w:eastAsia="es-ES"/>
            </w:rPr>
          </w:pPr>
        </w:p>
      </w:tc>
      <w:tc>
        <w:tcPr>
          <w:tcW w:w="3156" w:type="dxa"/>
        </w:tcPr>
        <w:p w14:paraId="7297392F" w14:textId="77777777" w:rsidR="000576F0" w:rsidRPr="005448A7" w:rsidRDefault="000576F0" w:rsidP="000576F0">
          <w:pPr>
            <w:tabs>
              <w:tab w:val="left" w:pos="2268"/>
            </w:tabs>
            <w:spacing w:before="240" w:after="0" w:line="160" w:lineRule="exact"/>
            <w:ind w:left="108"/>
            <w:rPr>
              <w:rFonts w:ascii="Gill Sans MT" w:eastAsia="Times New Roman" w:hAnsi="Gill Sans MT" w:cs="Times New Roman"/>
              <w:sz w:val="14"/>
              <w:szCs w:val="20"/>
              <w:lang w:eastAsia="es-ES"/>
            </w:rPr>
          </w:pPr>
          <w:r w:rsidRPr="005448A7">
            <w:rPr>
              <w:rFonts w:ascii="Gill Sans MT" w:eastAsia="Times New Roman" w:hAnsi="Gill Sans MT" w:cs="Times New Roman"/>
              <w:sz w:val="14"/>
              <w:szCs w:val="14"/>
              <w:lang w:eastAsia="es-ES"/>
            </w:rPr>
            <w:t>INTERVENCIÓN GENERAL DE LA ADMINISTRACIÓN DEL ESTADO</w:t>
          </w:r>
        </w:p>
        <w:p w14:paraId="2E79A72D" w14:textId="77777777" w:rsidR="000576F0" w:rsidRPr="005448A7" w:rsidRDefault="000576F0" w:rsidP="000576F0">
          <w:pPr>
            <w:tabs>
              <w:tab w:val="left" w:pos="2268"/>
            </w:tabs>
            <w:spacing w:before="120" w:after="0" w:line="160" w:lineRule="exact"/>
            <w:ind w:left="108"/>
            <w:rPr>
              <w:rFonts w:ascii="Gill Sans MT" w:eastAsia="Times New Roman" w:hAnsi="Gill Sans MT" w:cs="Times New Roman"/>
              <w:spacing w:val="-4"/>
              <w:sz w:val="10"/>
              <w:szCs w:val="10"/>
              <w:lang w:eastAsia="es-ES"/>
            </w:rPr>
          </w:pPr>
          <w:r w:rsidRPr="005448A7">
            <w:rPr>
              <w:rFonts w:ascii="Gill Sans MT" w:eastAsia="Times New Roman" w:hAnsi="Gill Sans MT" w:cs="Times New Roman"/>
              <w:sz w:val="14"/>
              <w:szCs w:val="20"/>
              <w:lang w:eastAsia="es-ES"/>
            </w:rPr>
            <w:br/>
            <w:t>OFICINA NACIONAL DE AUDITORÍA</w:t>
          </w:r>
        </w:p>
      </w:tc>
    </w:tr>
  </w:tbl>
  <w:p w14:paraId="66CAE83C" w14:textId="77777777" w:rsidR="000576F0" w:rsidRPr="000576F0" w:rsidRDefault="000576F0" w:rsidP="000576F0">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126CF"/>
    <w:multiLevelType w:val="hybridMultilevel"/>
    <w:tmpl w:val="5D1204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0945937"/>
    <w:multiLevelType w:val="hybridMultilevel"/>
    <w:tmpl w:val="A3962F82"/>
    <w:lvl w:ilvl="0" w:tplc="EB4A24C4">
      <w:start w:val="1"/>
      <w:numFmt w:val="lowerLetter"/>
      <w:lvlText w:val="%1)"/>
      <w:lvlJc w:val="left"/>
      <w:pPr>
        <w:ind w:left="720" w:hanging="360"/>
      </w:pPr>
    </w:lvl>
    <w:lvl w:ilvl="1" w:tplc="FE3CD528">
      <w:start w:val="1"/>
      <w:numFmt w:val="lowerLetter"/>
      <w:lvlText w:val="%2)"/>
      <w:lvlJc w:val="left"/>
      <w:pPr>
        <w:ind w:left="720" w:hanging="360"/>
      </w:pPr>
    </w:lvl>
    <w:lvl w:ilvl="2" w:tplc="1D06BF78">
      <w:start w:val="1"/>
      <w:numFmt w:val="lowerLetter"/>
      <w:lvlText w:val="%3)"/>
      <w:lvlJc w:val="left"/>
      <w:pPr>
        <w:ind w:left="720" w:hanging="360"/>
      </w:pPr>
    </w:lvl>
    <w:lvl w:ilvl="3" w:tplc="09AE93AC">
      <w:start w:val="1"/>
      <w:numFmt w:val="lowerLetter"/>
      <w:lvlText w:val="%4)"/>
      <w:lvlJc w:val="left"/>
      <w:pPr>
        <w:ind w:left="720" w:hanging="360"/>
      </w:pPr>
    </w:lvl>
    <w:lvl w:ilvl="4" w:tplc="BEC04738">
      <w:start w:val="1"/>
      <w:numFmt w:val="lowerLetter"/>
      <w:lvlText w:val="%5)"/>
      <w:lvlJc w:val="left"/>
      <w:pPr>
        <w:ind w:left="720" w:hanging="360"/>
      </w:pPr>
    </w:lvl>
    <w:lvl w:ilvl="5" w:tplc="AB7C3AB0">
      <w:start w:val="1"/>
      <w:numFmt w:val="lowerLetter"/>
      <w:lvlText w:val="%6)"/>
      <w:lvlJc w:val="left"/>
      <w:pPr>
        <w:ind w:left="720" w:hanging="360"/>
      </w:pPr>
    </w:lvl>
    <w:lvl w:ilvl="6" w:tplc="CEA06C92">
      <w:start w:val="1"/>
      <w:numFmt w:val="lowerLetter"/>
      <w:lvlText w:val="%7)"/>
      <w:lvlJc w:val="left"/>
      <w:pPr>
        <w:ind w:left="720" w:hanging="360"/>
      </w:pPr>
    </w:lvl>
    <w:lvl w:ilvl="7" w:tplc="82AEB39E">
      <w:start w:val="1"/>
      <w:numFmt w:val="lowerLetter"/>
      <w:lvlText w:val="%8)"/>
      <w:lvlJc w:val="left"/>
      <w:pPr>
        <w:ind w:left="720" w:hanging="360"/>
      </w:pPr>
    </w:lvl>
    <w:lvl w:ilvl="8" w:tplc="64D6BB0C">
      <w:start w:val="1"/>
      <w:numFmt w:val="lowerLetter"/>
      <w:lvlText w:val="%9)"/>
      <w:lvlJc w:val="left"/>
      <w:pPr>
        <w:ind w:left="720" w:hanging="360"/>
      </w:pPr>
    </w:lvl>
  </w:abstractNum>
  <w:num w:numId="1" w16cid:durableId="1658261737">
    <w:abstractNumId w:val="0"/>
  </w:num>
  <w:num w:numId="2" w16cid:durableId="553925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032"/>
    <w:rsid w:val="000139A3"/>
    <w:rsid w:val="000576F0"/>
    <w:rsid w:val="00072ADD"/>
    <w:rsid w:val="000E2119"/>
    <w:rsid w:val="001B6513"/>
    <w:rsid w:val="001D6AB3"/>
    <w:rsid w:val="002039CE"/>
    <w:rsid w:val="0021433A"/>
    <w:rsid w:val="002E6126"/>
    <w:rsid w:val="00327BB2"/>
    <w:rsid w:val="003C3018"/>
    <w:rsid w:val="00484C37"/>
    <w:rsid w:val="0057089C"/>
    <w:rsid w:val="00593696"/>
    <w:rsid w:val="005A58D5"/>
    <w:rsid w:val="00762032"/>
    <w:rsid w:val="007D092A"/>
    <w:rsid w:val="00847F8D"/>
    <w:rsid w:val="0089658F"/>
    <w:rsid w:val="00911A3A"/>
    <w:rsid w:val="00A86F97"/>
    <w:rsid w:val="00AA15D7"/>
    <w:rsid w:val="00B3367E"/>
    <w:rsid w:val="00B86792"/>
    <w:rsid w:val="00BB407E"/>
    <w:rsid w:val="00BE7CA1"/>
    <w:rsid w:val="00BF068F"/>
    <w:rsid w:val="00C85DD1"/>
    <w:rsid w:val="00CB0854"/>
    <w:rsid w:val="00CE3352"/>
    <w:rsid w:val="00D06554"/>
    <w:rsid w:val="00D5681B"/>
    <w:rsid w:val="00D66310"/>
    <w:rsid w:val="00D75D5A"/>
    <w:rsid w:val="00DF2BD8"/>
    <w:rsid w:val="00E17043"/>
    <w:rsid w:val="00F54B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C9C23"/>
  <w15:chartTrackingRefBased/>
  <w15:docId w15:val="{CBF97D91-DD1B-44FC-87C7-59F27294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0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6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62032"/>
    <w:pPr>
      <w:ind w:left="720"/>
      <w:contextualSpacing/>
    </w:pPr>
  </w:style>
  <w:style w:type="paragraph" w:styleId="Textodeglobo">
    <w:name w:val="Balloon Text"/>
    <w:basedOn w:val="Normal"/>
    <w:link w:val="TextodegloboCar"/>
    <w:uiPriority w:val="99"/>
    <w:semiHidden/>
    <w:unhideWhenUsed/>
    <w:rsid w:val="002143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433A"/>
    <w:rPr>
      <w:rFonts w:ascii="Segoe UI" w:hAnsi="Segoe UI" w:cs="Segoe UI"/>
      <w:sz w:val="18"/>
      <w:szCs w:val="18"/>
    </w:rPr>
  </w:style>
  <w:style w:type="character" w:styleId="Refdecomentario">
    <w:name w:val="annotation reference"/>
    <w:basedOn w:val="Fuentedeprrafopredeter"/>
    <w:uiPriority w:val="99"/>
    <w:semiHidden/>
    <w:unhideWhenUsed/>
    <w:rsid w:val="00E17043"/>
    <w:rPr>
      <w:sz w:val="16"/>
      <w:szCs w:val="16"/>
    </w:rPr>
  </w:style>
  <w:style w:type="paragraph" w:styleId="Textocomentario">
    <w:name w:val="annotation text"/>
    <w:basedOn w:val="Normal"/>
    <w:link w:val="TextocomentarioCar"/>
    <w:uiPriority w:val="99"/>
    <w:unhideWhenUsed/>
    <w:rsid w:val="00E17043"/>
    <w:pPr>
      <w:spacing w:line="240" w:lineRule="auto"/>
    </w:pPr>
    <w:rPr>
      <w:sz w:val="20"/>
      <w:szCs w:val="20"/>
    </w:rPr>
  </w:style>
  <w:style w:type="character" w:customStyle="1" w:styleId="TextocomentarioCar">
    <w:name w:val="Texto comentario Car"/>
    <w:basedOn w:val="Fuentedeprrafopredeter"/>
    <w:link w:val="Textocomentario"/>
    <w:uiPriority w:val="99"/>
    <w:rsid w:val="00E17043"/>
    <w:rPr>
      <w:sz w:val="20"/>
      <w:szCs w:val="20"/>
    </w:rPr>
  </w:style>
  <w:style w:type="paragraph" w:styleId="Revisin">
    <w:name w:val="Revision"/>
    <w:hidden/>
    <w:uiPriority w:val="99"/>
    <w:semiHidden/>
    <w:rsid w:val="00D66310"/>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F54B34"/>
    <w:rPr>
      <w:b/>
      <w:bCs/>
    </w:rPr>
  </w:style>
  <w:style w:type="character" w:customStyle="1" w:styleId="AsuntodelcomentarioCar">
    <w:name w:val="Asunto del comentario Car"/>
    <w:basedOn w:val="TextocomentarioCar"/>
    <w:link w:val="Asuntodelcomentario"/>
    <w:uiPriority w:val="99"/>
    <w:semiHidden/>
    <w:rsid w:val="00F54B34"/>
    <w:rPr>
      <w:b/>
      <w:bCs/>
      <w:sz w:val="20"/>
      <w:szCs w:val="20"/>
    </w:rPr>
  </w:style>
  <w:style w:type="paragraph" w:styleId="Encabezado">
    <w:name w:val="header"/>
    <w:basedOn w:val="Normal"/>
    <w:link w:val="EncabezadoCar"/>
    <w:uiPriority w:val="99"/>
    <w:unhideWhenUsed/>
    <w:rsid w:val="000576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76F0"/>
  </w:style>
  <w:style w:type="paragraph" w:styleId="Piedepgina">
    <w:name w:val="footer"/>
    <w:basedOn w:val="Normal"/>
    <w:link w:val="PiedepginaCar"/>
    <w:uiPriority w:val="99"/>
    <w:unhideWhenUsed/>
    <w:rsid w:val="000576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7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E96F2320F0934D812DDC7C72415D7E" ma:contentTypeVersion="1" ma:contentTypeDescription="Crear nuevo documento." ma:contentTypeScope="" ma:versionID="586d07eea79779542327a5db0022756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AFE7FA-0B7A-4971-B32F-8CCCE155F2E8}"/>
</file>

<file path=customXml/itemProps2.xml><?xml version="1.0" encoding="utf-8"?>
<ds:datastoreItem xmlns:ds="http://schemas.openxmlformats.org/officeDocument/2006/customXml" ds:itemID="{EFF1B531-A56B-4764-B1A6-68D9854ADF07}"/>
</file>

<file path=customXml/itemProps3.xml><?xml version="1.0" encoding="utf-8"?>
<ds:datastoreItem xmlns:ds="http://schemas.openxmlformats.org/officeDocument/2006/customXml" ds:itemID="{3A169FD4-F9CB-439B-A501-54C63BC93AD7}"/>
</file>

<file path=docProps/app.xml><?xml version="1.0" encoding="utf-8"?>
<Properties xmlns="http://schemas.openxmlformats.org/officeDocument/2006/extended-properties" xmlns:vt="http://schemas.openxmlformats.org/officeDocument/2006/docPropsVTypes">
  <Template>Normal.dotm</Template>
  <TotalTime>25</TotalTime>
  <Pages>1</Pages>
  <Words>396</Words>
  <Characters>2184</Characters>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2024-05-20T07:50:00Z</dcterms:created>
  <dcterms:modified xsi:type="dcterms:W3CDTF">2025-06-26T08:16:00Z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0x01010091E96F2320F0934D812DDC7C72415D7E</vt:lpwstr>
  </property>
</Properties>
</file>