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82F28" w14:textId="795940D7" w:rsidR="00BE7CA1" w:rsidRPr="00A50C62" w:rsidRDefault="00A50C62" w:rsidP="00F85960">
      <w:pPr>
        <w:jc w:val="both"/>
        <w:rPr>
          <w:b/>
        </w:rPr>
      </w:pPr>
      <w:r w:rsidRPr="00A50C62">
        <w:rPr>
          <w:b/>
        </w:rPr>
        <w:t>ANEXO I.1</w:t>
      </w:r>
      <w:r w:rsidR="00131DDD" w:rsidRPr="00131DDD">
        <w:rPr>
          <w:b/>
        </w:rPr>
        <w:t xml:space="preserve"> </w:t>
      </w:r>
      <w:r w:rsidR="00131DDD" w:rsidRPr="00FB389F">
        <w:rPr>
          <w:b/>
        </w:rPr>
        <w:t>ACTIVIDADES PRELIMINARES</w:t>
      </w:r>
      <w:r w:rsidR="00131DDD">
        <w:rPr>
          <w:b/>
        </w:rPr>
        <w:t>: ÉTICA E INDEPENDENCIA</w:t>
      </w:r>
    </w:p>
    <w:tbl>
      <w:tblPr>
        <w:tblStyle w:val="Tablaconcuadrcula"/>
        <w:tblW w:w="0" w:type="auto"/>
        <w:tblLook w:val="04A0" w:firstRow="1" w:lastRow="0" w:firstColumn="1" w:lastColumn="0" w:noHBand="0" w:noVBand="1"/>
      </w:tblPr>
      <w:tblGrid>
        <w:gridCol w:w="855"/>
        <w:gridCol w:w="6976"/>
      </w:tblGrid>
      <w:tr w:rsidR="00DF5152" w14:paraId="23F161E9" w14:textId="77777777" w:rsidTr="00D62FEB">
        <w:tc>
          <w:tcPr>
            <w:tcW w:w="855" w:type="dxa"/>
            <w:shd w:val="clear" w:color="auto" w:fill="F7CAAC" w:themeFill="accent2" w:themeFillTint="66"/>
          </w:tcPr>
          <w:p w14:paraId="653603A5" w14:textId="77777777" w:rsidR="00DF5152" w:rsidRDefault="00465478" w:rsidP="00F85960">
            <w:pPr>
              <w:jc w:val="both"/>
            </w:pPr>
            <w:r>
              <w:t>I.1</w:t>
            </w:r>
          </w:p>
        </w:tc>
        <w:tc>
          <w:tcPr>
            <w:tcW w:w="6976" w:type="dxa"/>
            <w:shd w:val="clear" w:color="auto" w:fill="F7CAAC" w:themeFill="accent2" w:themeFillTint="66"/>
          </w:tcPr>
          <w:p w14:paraId="6436C35B" w14:textId="77777777" w:rsidR="00DF5152" w:rsidRDefault="00DF5152" w:rsidP="00F85960">
            <w:pPr>
              <w:jc w:val="both"/>
            </w:pPr>
            <w:r>
              <w:t>REVISIÓN DEL CUMPLIMIENTO DE LOS REQUERIMIENTOS DE ÉTICA E INDEPENDENCIA:</w:t>
            </w:r>
          </w:p>
        </w:tc>
      </w:tr>
      <w:tr w:rsidR="00DF5152" w14:paraId="6AC02502" w14:textId="77777777" w:rsidTr="00D62FEB">
        <w:tc>
          <w:tcPr>
            <w:tcW w:w="855" w:type="dxa"/>
          </w:tcPr>
          <w:p w14:paraId="7E45F80A" w14:textId="77777777" w:rsidR="00DF5152" w:rsidRDefault="00DF5152" w:rsidP="00F85960">
            <w:pPr>
              <w:jc w:val="both"/>
            </w:pPr>
            <w:r>
              <w:t>1</w:t>
            </w:r>
          </w:p>
        </w:tc>
        <w:tc>
          <w:tcPr>
            <w:tcW w:w="6976" w:type="dxa"/>
          </w:tcPr>
          <w:p w14:paraId="5D499403" w14:textId="58925E4E" w:rsidR="00DF5152" w:rsidRDefault="00DF5152" w:rsidP="00F85960">
            <w:pPr>
              <w:jc w:val="both"/>
            </w:pPr>
            <w:r>
              <w:t>Todos los miembros del equipo del auditor colaborador</w:t>
            </w:r>
            <w:r>
              <w:rPr>
                <w:rStyle w:val="Refdenotaalpie"/>
              </w:rPr>
              <w:footnoteReference w:id="1"/>
            </w:r>
            <w:r>
              <w:t xml:space="preserve"> han documentado</w:t>
            </w:r>
            <w:r w:rsidRPr="00EE688A">
              <w:t xml:space="preserve"> la protección de la independencia y la incompatibilidad en las mismas condiciones que si se trata</w:t>
            </w:r>
            <w:r>
              <w:t xml:space="preserve">ra de personal dependiente del </w:t>
            </w:r>
            <w:r w:rsidR="005F0DFF">
              <w:rPr>
                <w:rFonts w:ascii="Calibri" w:hAnsi="Calibri" w:cs="Calibri"/>
              </w:rPr>
              <w:t>órgano interventor de la</w:t>
            </w:r>
            <w:r w:rsidR="00AA32C1">
              <w:rPr>
                <w:rFonts w:ascii="Calibri" w:hAnsi="Calibri" w:cs="Calibri"/>
              </w:rPr>
              <w:t xml:space="preserve"> entidad local</w:t>
            </w:r>
            <w:r>
              <w:t xml:space="preserve">, según la </w:t>
            </w:r>
            <w:r w:rsidRPr="007412C7">
              <w:t>Resolución de 20 de septiembre de 2017, de la Intervención General de la Administración del Estado, por la que se desarrolla el principio de independencia para el ejercicio de las funciones de control atribuidas a la Intervención General de la Administración del Estado</w:t>
            </w:r>
            <w:r>
              <w:t xml:space="preserve">, </w:t>
            </w:r>
            <w:r>
              <w:rPr>
                <w:rFonts w:ascii="Calibri" w:hAnsi="Calibri" w:cs="Calibri"/>
              </w:rPr>
              <w:t xml:space="preserve">y, en lo que proceda y resulte aplicable, en la </w:t>
            </w:r>
            <w:hyperlink r:id="rId8" w:tgtFrame="_blank" w:tooltip="Abre en ventan nueva" w:history="1">
              <w:r w:rsidRPr="00B23DC4">
                <w:rPr>
                  <w:rStyle w:val="Hipervnculo"/>
                  <w:rFonts w:ascii="Calibri" w:hAnsi="Calibri" w:cs="Calibri"/>
                  <w:color w:val="auto"/>
                </w:rPr>
                <w:t>Instrucción de la Oficina Nacional de Auditoría 1/2018,</w:t>
              </w:r>
              <w:r w:rsidRPr="00DF5152">
                <w:rPr>
                  <w:rStyle w:val="Hipervnculo"/>
                  <w:rFonts w:ascii="Calibri" w:hAnsi="Calibri" w:cs="Calibri"/>
                </w:rPr>
                <w:t xml:space="preserve"> </w:t>
              </w:r>
            </w:hyperlink>
            <w:r w:rsidRPr="00DF5152">
              <w:rPr>
                <w:rFonts w:ascii="Calibri" w:hAnsi="Calibri" w:cs="Calibri"/>
              </w:rPr>
              <w:t>sobre la protección de la independencia en los trabajos de Auditoría Pública, Control Financiero Permanente, Control Financiero de Subvenciones y Control de Fondos Europeos (IONAPI)</w:t>
            </w:r>
            <w:r>
              <w:rPr>
                <w:rFonts w:ascii="Calibri" w:hAnsi="Calibri" w:cs="Calibri"/>
              </w:rPr>
              <w:t xml:space="preserve">, </w:t>
            </w:r>
            <w:r>
              <w:t>así como la normativa que el propio órgano de control haya establecido al efecto.</w:t>
            </w:r>
          </w:p>
        </w:tc>
      </w:tr>
      <w:tr w:rsidR="00DF5152" w14:paraId="09357698" w14:textId="77777777" w:rsidTr="00D62FEB">
        <w:tc>
          <w:tcPr>
            <w:tcW w:w="855" w:type="dxa"/>
          </w:tcPr>
          <w:p w14:paraId="6858A979" w14:textId="77777777" w:rsidR="00DF5152" w:rsidRDefault="00DF5152" w:rsidP="00F85960">
            <w:pPr>
              <w:jc w:val="both"/>
            </w:pPr>
            <w:r>
              <w:t>2</w:t>
            </w:r>
          </w:p>
        </w:tc>
        <w:tc>
          <w:tcPr>
            <w:tcW w:w="6976" w:type="dxa"/>
          </w:tcPr>
          <w:p w14:paraId="1C154B54" w14:textId="77777777" w:rsidR="00CF56C0" w:rsidRPr="00CF56C0" w:rsidRDefault="00CF56C0" w:rsidP="00CF56C0">
            <w:pPr>
              <w:pStyle w:val="pf0"/>
              <w:jc w:val="both"/>
              <w:rPr>
                <w:rFonts w:asciiTheme="minorHAnsi" w:hAnsiTheme="minorHAnsi" w:cstheme="minorHAnsi"/>
                <w:sz w:val="22"/>
                <w:szCs w:val="22"/>
              </w:rPr>
            </w:pPr>
            <w:r w:rsidRPr="00CF56C0">
              <w:rPr>
                <w:rStyle w:val="cf01"/>
                <w:rFonts w:asciiTheme="minorHAnsi" w:hAnsiTheme="minorHAnsi" w:cstheme="minorHAnsi"/>
                <w:sz w:val="22"/>
                <w:szCs w:val="22"/>
              </w:rPr>
              <w:t>El órgano interventor de la entidad local habrá revisado la cumplimentación de:</w:t>
            </w:r>
          </w:p>
          <w:p w14:paraId="77F7A6EC" w14:textId="77777777" w:rsidR="00CF56C0" w:rsidRPr="00CF56C0" w:rsidRDefault="00CF56C0" w:rsidP="00CF56C0">
            <w:pPr>
              <w:pStyle w:val="pf1"/>
              <w:numPr>
                <w:ilvl w:val="0"/>
                <w:numId w:val="10"/>
              </w:numPr>
              <w:jc w:val="both"/>
              <w:rPr>
                <w:rFonts w:asciiTheme="minorHAnsi" w:hAnsiTheme="minorHAnsi" w:cstheme="minorHAnsi"/>
                <w:sz w:val="22"/>
                <w:szCs w:val="22"/>
              </w:rPr>
            </w:pPr>
            <w:r w:rsidRPr="00CF56C0">
              <w:rPr>
                <w:rStyle w:val="cf01"/>
                <w:rFonts w:asciiTheme="minorHAnsi" w:hAnsiTheme="minorHAnsi" w:cstheme="minorHAnsi"/>
                <w:sz w:val="22"/>
                <w:szCs w:val="22"/>
              </w:rPr>
              <w:t xml:space="preserve">La autoevaluación </w:t>
            </w:r>
            <w:r w:rsidRPr="00CF56C0">
              <w:rPr>
                <w:rStyle w:val="cf11"/>
                <w:rFonts w:asciiTheme="minorHAnsi" w:hAnsiTheme="minorHAnsi" w:cstheme="minorHAnsi"/>
                <w:color w:val="auto"/>
                <w:sz w:val="22"/>
                <w:szCs w:val="22"/>
              </w:rPr>
              <w:t xml:space="preserve">de la protección de la independencia </w:t>
            </w:r>
            <w:r w:rsidRPr="00CF56C0">
              <w:rPr>
                <w:rStyle w:val="cf01"/>
                <w:rFonts w:asciiTheme="minorHAnsi" w:hAnsiTheme="minorHAnsi" w:cstheme="minorHAnsi"/>
                <w:sz w:val="22"/>
                <w:szCs w:val="22"/>
              </w:rPr>
              <w:t xml:space="preserve">de los miembros del equipo del auditor colaborador </w:t>
            </w:r>
            <w:r w:rsidRPr="00CF56C0">
              <w:rPr>
                <w:rStyle w:val="cf11"/>
                <w:rFonts w:asciiTheme="minorHAnsi" w:hAnsiTheme="minorHAnsi" w:cstheme="minorHAnsi"/>
                <w:color w:val="auto"/>
                <w:sz w:val="22"/>
                <w:szCs w:val="22"/>
              </w:rPr>
              <w:t>a que se refiere el punto 1 anterior.</w:t>
            </w:r>
          </w:p>
          <w:p w14:paraId="72CBA647" w14:textId="77777777" w:rsidR="00CF56C0" w:rsidRPr="00CF56C0" w:rsidRDefault="00CF56C0" w:rsidP="00CF56C0">
            <w:pPr>
              <w:pStyle w:val="pf1"/>
              <w:numPr>
                <w:ilvl w:val="0"/>
                <w:numId w:val="10"/>
              </w:numPr>
              <w:jc w:val="both"/>
              <w:rPr>
                <w:rFonts w:asciiTheme="minorHAnsi" w:hAnsiTheme="minorHAnsi" w:cstheme="minorHAnsi"/>
                <w:sz w:val="22"/>
                <w:szCs w:val="22"/>
              </w:rPr>
            </w:pPr>
            <w:r w:rsidRPr="00CF56C0">
              <w:rPr>
                <w:rStyle w:val="cf11"/>
                <w:rFonts w:asciiTheme="minorHAnsi" w:hAnsiTheme="minorHAnsi" w:cstheme="minorHAnsi"/>
                <w:color w:val="auto"/>
                <w:sz w:val="22"/>
                <w:szCs w:val="22"/>
              </w:rPr>
              <w:t>Los criterios que figuran en los artículos 19, 20, 23 y 24, referidos a incompatibilidades derivadas de situaciones que concurren en personas o entidades relacionadas directamente con el auditor de cuentas o sociedad de auditoría, las que se derivan de personas relacionadas con la red del auditor o sociedad de auditoría, las prohibiciones posteriores a la finalización del trabajo de auditoría, y las relacionadas con los honorarios de auditoría, de la Ley 22/2015, de 20 de julio, de Auditoría de Cuentas y el desarrollo reglamentario, o la normativa que la sustituya.</w:t>
            </w:r>
          </w:p>
          <w:p w14:paraId="2C6A6871" w14:textId="33A6C4FD" w:rsidR="00DF5152" w:rsidRPr="00CF56C0" w:rsidRDefault="00DF5152" w:rsidP="00F85960">
            <w:pPr>
              <w:jc w:val="both"/>
              <w:rPr>
                <w:lang w:val="es-ES_tradnl"/>
              </w:rPr>
            </w:pPr>
          </w:p>
        </w:tc>
      </w:tr>
      <w:tr w:rsidR="00DF5152" w14:paraId="0A540A66" w14:textId="77777777" w:rsidTr="00D62FEB">
        <w:tc>
          <w:tcPr>
            <w:tcW w:w="855" w:type="dxa"/>
          </w:tcPr>
          <w:p w14:paraId="631359E4" w14:textId="77777777" w:rsidR="00DF5152" w:rsidRDefault="00465478" w:rsidP="00F85960">
            <w:pPr>
              <w:jc w:val="both"/>
            </w:pPr>
            <w:r>
              <w:t>3</w:t>
            </w:r>
          </w:p>
        </w:tc>
        <w:tc>
          <w:tcPr>
            <w:tcW w:w="6976" w:type="dxa"/>
          </w:tcPr>
          <w:p w14:paraId="786C7443" w14:textId="2F5C4640" w:rsidR="00DF5152" w:rsidRDefault="00DF5152" w:rsidP="00F85960">
            <w:pPr>
              <w:jc w:val="both"/>
              <w:rPr>
                <w:rFonts w:ascii="Calibri" w:hAnsi="Calibri" w:cs="Calibri"/>
              </w:rPr>
            </w:pPr>
            <w:r>
              <w:rPr>
                <w:rFonts w:ascii="Calibri" w:hAnsi="Calibri" w:cs="Calibri"/>
              </w:rPr>
              <w:t xml:space="preserve">En caso de haberse detectado algún supuesto de incompatibilidad o amenaza a la independencia se han seguido los procedimientos previstos en la Resolución de 20 de septiembre de 2017 de la IGAE y, en lo que proceda y resulte aplicable, en la Instrucción de la ONA, así como en procedimientos propios del </w:t>
            </w:r>
            <w:r w:rsidR="005F0DFF">
              <w:rPr>
                <w:rFonts w:ascii="Calibri" w:hAnsi="Calibri" w:cs="Calibri"/>
              </w:rPr>
              <w:t>órgano interventor de la</w:t>
            </w:r>
            <w:r w:rsidR="00AA32C1">
              <w:rPr>
                <w:rFonts w:ascii="Calibri" w:hAnsi="Calibri" w:cs="Calibri"/>
              </w:rPr>
              <w:t xml:space="preserve"> entidad local</w:t>
            </w:r>
            <w:r w:rsidR="005F0DFF">
              <w:rPr>
                <w:rFonts w:ascii="Calibri" w:hAnsi="Calibri" w:cs="Calibri"/>
              </w:rPr>
              <w:t xml:space="preserve"> </w:t>
            </w:r>
            <w:r>
              <w:rPr>
                <w:rFonts w:ascii="Calibri" w:hAnsi="Calibri" w:cs="Calibri"/>
              </w:rPr>
              <w:t>que se hubiesen establecido al efecto.</w:t>
            </w:r>
          </w:p>
          <w:p w14:paraId="73B538E1" w14:textId="77777777" w:rsidR="00DF5152" w:rsidRDefault="00DF5152" w:rsidP="00F85960">
            <w:pPr>
              <w:jc w:val="both"/>
            </w:pPr>
          </w:p>
        </w:tc>
      </w:tr>
      <w:tr w:rsidR="00DF5152" w14:paraId="2F1FFFF6" w14:textId="77777777" w:rsidTr="00D62FEB">
        <w:tc>
          <w:tcPr>
            <w:tcW w:w="855" w:type="dxa"/>
          </w:tcPr>
          <w:p w14:paraId="551FABDE" w14:textId="77777777" w:rsidR="00DF5152" w:rsidRDefault="00A50C62" w:rsidP="00F85960">
            <w:pPr>
              <w:jc w:val="both"/>
            </w:pPr>
            <w:r>
              <w:lastRenderedPageBreak/>
              <w:t>4</w:t>
            </w:r>
          </w:p>
        </w:tc>
        <w:tc>
          <w:tcPr>
            <w:tcW w:w="6976" w:type="dxa"/>
          </w:tcPr>
          <w:p w14:paraId="3B11420F" w14:textId="0AB7FF48" w:rsidR="00DF5152" w:rsidRDefault="00CF56C0" w:rsidP="00F85960">
            <w:pPr>
              <w:jc w:val="both"/>
              <w:rPr>
                <w:rFonts w:ascii="Calibri" w:hAnsi="Calibri" w:cs="Calibri"/>
              </w:rPr>
            </w:pPr>
            <w:r>
              <w:rPr>
                <w:rFonts w:ascii="Calibri" w:hAnsi="Calibri" w:cs="Calibri"/>
              </w:rPr>
              <w:t>Documentos para cumplimentar</w:t>
            </w:r>
            <w:r w:rsidR="00A50C62">
              <w:rPr>
                <w:rFonts w:ascii="Calibri" w:hAnsi="Calibri" w:cs="Calibri"/>
              </w:rPr>
              <w:t xml:space="preserve"> y firmar por el auditor </w:t>
            </w:r>
            <w:r w:rsidR="001A73E0">
              <w:rPr>
                <w:rFonts w:ascii="Calibri" w:hAnsi="Calibri" w:cs="Calibri"/>
              </w:rPr>
              <w:t>colaborador</w:t>
            </w:r>
            <w:r w:rsidR="00A50C62">
              <w:rPr>
                <w:rFonts w:ascii="Calibri" w:hAnsi="Calibri" w:cs="Calibri"/>
              </w:rPr>
              <w:t xml:space="preserve"> c</w:t>
            </w:r>
            <w:r w:rsidR="00C03484">
              <w:rPr>
                <w:rFonts w:ascii="Calibri" w:hAnsi="Calibri" w:cs="Calibri"/>
              </w:rPr>
              <w:t>uando no se presenta ninguna situación de:</w:t>
            </w:r>
          </w:p>
          <w:p w14:paraId="20200E32" w14:textId="77777777" w:rsidR="00C03484" w:rsidRDefault="00C03484" w:rsidP="00F85960">
            <w:pPr>
              <w:jc w:val="both"/>
              <w:rPr>
                <w:rFonts w:ascii="Calibri" w:hAnsi="Calibri" w:cs="Calibri"/>
              </w:rPr>
            </w:pPr>
          </w:p>
          <w:p w14:paraId="08CD585A" w14:textId="77777777" w:rsidR="00C03484" w:rsidRPr="00C03484" w:rsidRDefault="00C03484" w:rsidP="00F85960">
            <w:pPr>
              <w:numPr>
                <w:ilvl w:val="0"/>
                <w:numId w:val="2"/>
              </w:numPr>
              <w:jc w:val="both"/>
              <w:rPr>
                <w:rFonts w:ascii="Calibri" w:hAnsi="Calibri" w:cs="Calibri"/>
              </w:rPr>
            </w:pPr>
            <w:r w:rsidRPr="00C03484">
              <w:rPr>
                <w:rFonts w:ascii="Calibri" w:hAnsi="Calibri" w:cs="Calibri"/>
              </w:rPr>
              <w:t>Incompatibilidad de las mencionadas de forma tasada en la Resolución de 20 de septiembre de 2017, de la Intervención General de la Administración del Estado, por la que se desarrolla el principio de independencia para el ejercicio de las funciones de control atribuidas a la Intervención General de la Administración del Estado.</w:t>
            </w:r>
          </w:p>
          <w:p w14:paraId="48C33369" w14:textId="77777777" w:rsidR="00C03484" w:rsidRPr="00C03484" w:rsidRDefault="00C03484" w:rsidP="00F85960">
            <w:pPr>
              <w:numPr>
                <w:ilvl w:val="0"/>
                <w:numId w:val="2"/>
              </w:numPr>
              <w:jc w:val="both"/>
              <w:rPr>
                <w:rFonts w:ascii="Calibri" w:hAnsi="Calibri" w:cs="Calibri"/>
              </w:rPr>
            </w:pPr>
            <w:r w:rsidRPr="00C03484">
              <w:rPr>
                <w:rFonts w:ascii="Calibri" w:hAnsi="Calibri" w:cs="Calibri"/>
              </w:rPr>
              <w:t>Amenaza a la independencia de las mencionadas en la citada Resolución de 20 de septiembre de la IGAE o en la IONAPI.</w:t>
            </w:r>
          </w:p>
          <w:p w14:paraId="03981E43" w14:textId="77777777" w:rsidR="00C03484" w:rsidRDefault="00C03484" w:rsidP="00F85960">
            <w:pPr>
              <w:jc w:val="both"/>
              <w:rPr>
                <w:rFonts w:ascii="Calibri" w:hAnsi="Calibri" w:cs="Calibri"/>
              </w:rPr>
            </w:pPr>
          </w:p>
          <w:p w14:paraId="7DCD9F04" w14:textId="77777777" w:rsidR="00C03484" w:rsidRDefault="00A50C62" w:rsidP="00F85960">
            <w:pPr>
              <w:jc w:val="both"/>
              <w:rPr>
                <w:rFonts w:ascii="Calibri" w:hAnsi="Calibri" w:cs="Calibri"/>
              </w:rPr>
            </w:pPr>
            <w:r>
              <w:rPr>
                <w:rFonts w:ascii="Calibri" w:hAnsi="Calibri" w:cs="Calibri"/>
              </w:rPr>
              <w:t>Documentos:</w:t>
            </w:r>
          </w:p>
          <w:p w14:paraId="545A62E0" w14:textId="77777777" w:rsidR="00DF5152" w:rsidRDefault="00DF5152" w:rsidP="00F85960">
            <w:pPr>
              <w:numPr>
                <w:ilvl w:val="0"/>
                <w:numId w:val="2"/>
              </w:numPr>
              <w:jc w:val="both"/>
              <w:rPr>
                <w:rFonts w:ascii="Calibri" w:hAnsi="Calibri" w:cs="Calibri"/>
              </w:rPr>
            </w:pPr>
            <w:r>
              <w:rPr>
                <w:rFonts w:ascii="Calibri" w:hAnsi="Calibri" w:cs="Calibri"/>
              </w:rPr>
              <w:t>ANEXO III de la IONAPI</w:t>
            </w:r>
            <w:r w:rsidRPr="00DF5152">
              <w:rPr>
                <w:rFonts w:ascii="Calibri" w:hAnsi="Calibri" w:cs="Calibri"/>
              </w:rPr>
              <w:t>: Cuestionario de la autoevaluación de la protección de la inde</w:t>
            </w:r>
            <w:r>
              <w:rPr>
                <w:rFonts w:ascii="Calibri" w:hAnsi="Calibri" w:cs="Calibri"/>
              </w:rPr>
              <w:t>pendencia y la incompatibilidad.</w:t>
            </w:r>
          </w:p>
          <w:p w14:paraId="2A90001F" w14:textId="77777777" w:rsidR="00C03484" w:rsidRDefault="00C03484" w:rsidP="00F85960">
            <w:pPr>
              <w:ind w:left="720"/>
              <w:jc w:val="both"/>
              <w:rPr>
                <w:rFonts w:ascii="Calibri" w:hAnsi="Calibri" w:cs="Calibri"/>
              </w:rPr>
            </w:pPr>
            <w:r>
              <w:rPr>
                <w:rFonts w:ascii="Calibri" w:hAnsi="Calibri" w:cs="Calibri"/>
              </w:rPr>
              <w:t>(Habrá contestado negativamente a las diez preguntas de este Anexo III)</w:t>
            </w:r>
          </w:p>
          <w:p w14:paraId="71616972" w14:textId="77777777" w:rsidR="00DF5152" w:rsidRDefault="00DF5152" w:rsidP="00F85960">
            <w:pPr>
              <w:numPr>
                <w:ilvl w:val="0"/>
                <w:numId w:val="2"/>
              </w:numPr>
              <w:jc w:val="both"/>
              <w:rPr>
                <w:rFonts w:ascii="Calibri" w:hAnsi="Calibri" w:cs="Calibri"/>
              </w:rPr>
            </w:pPr>
            <w:r>
              <w:rPr>
                <w:rFonts w:ascii="Calibri" w:hAnsi="Calibri" w:cs="Calibri"/>
              </w:rPr>
              <w:t>ANEXO IV de la IONAPI</w:t>
            </w:r>
            <w:r w:rsidRPr="00DF5152">
              <w:rPr>
                <w:rFonts w:ascii="Calibri" w:hAnsi="Calibri" w:cs="Calibri"/>
              </w:rPr>
              <w:t>: Documento de conclusiones sobre la autoevaluación de la independencia y la incompatibilidad para un trabajo de control concreto</w:t>
            </w:r>
            <w:r>
              <w:rPr>
                <w:rFonts w:ascii="Calibri" w:hAnsi="Calibri" w:cs="Calibri"/>
              </w:rPr>
              <w:t>.</w:t>
            </w:r>
          </w:p>
          <w:p w14:paraId="41171F7E" w14:textId="77777777" w:rsidR="00DF5152" w:rsidRDefault="00DF5152" w:rsidP="00F85960">
            <w:pPr>
              <w:jc w:val="both"/>
              <w:rPr>
                <w:rFonts w:ascii="Calibri" w:hAnsi="Calibri" w:cs="Calibri"/>
              </w:rPr>
            </w:pPr>
          </w:p>
        </w:tc>
      </w:tr>
      <w:tr w:rsidR="00A50C62" w14:paraId="44CC3B22" w14:textId="77777777" w:rsidTr="00D62FEB">
        <w:tc>
          <w:tcPr>
            <w:tcW w:w="855" w:type="dxa"/>
          </w:tcPr>
          <w:p w14:paraId="79AB5C60" w14:textId="0C3A1DF8" w:rsidR="00A50C62" w:rsidRDefault="00A50C62" w:rsidP="00F85960">
            <w:pPr>
              <w:jc w:val="both"/>
            </w:pPr>
            <w:r>
              <w:t>5</w:t>
            </w:r>
          </w:p>
        </w:tc>
        <w:tc>
          <w:tcPr>
            <w:tcW w:w="6976" w:type="dxa"/>
          </w:tcPr>
          <w:p w14:paraId="3E03D12D" w14:textId="0BBB3349" w:rsidR="00A50C62" w:rsidRDefault="00CF56C0" w:rsidP="00F85960">
            <w:pPr>
              <w:jc w:val="both"/>
              <w:rPr>
                <w:rFonts w:ascii="Calibri" w:hAnsi="Calibri" w:cs="Calibri"/>
              </w:rPr>
            </w:pPr>
            <w:r>
              <w:rPr>
                <w:rFonts w:ascii="Calibri" w:hAnsi="Calibri" w:cs="Calibri"/>
              </w:rPr>
              <w:t>Documentos para cumplimentar</w:t>
            </w:r>
            <w:r w:rsidR="00A50C62">
              <w:rPr>
                <w:rFonts w:ascii="Calibri" w:hAnsi="Calibri" w:cs="Calibri"/>
              </w:rPr>
              <w:t xml:space="preserve"> y firmar por el auditor </w:t>
            </w:r>
            <w:r w:rsidR="001A73E0" w:rsidRPr="00CF56C0">
              <w:rPr>
                <w:rFonts w:ascii="Calibri" w:hAnsi="Calibri" w:cs="Calibri"/>
              </w:rPr>
              <w:t>colaborador</w:t>
            </w:r>
            <w:r w:rsidR="00A50C62" w:rsidRPr="00CF56C0">
              <w:rPr>
                <w:rFonts w:ascii="Calibri" w:hAnsi="Calibri" w:cs="Calibri"/>
              </w:rPr>
              <w:t xml:space="preserve"> cuando se presenta </w:t>
            </w:r>
            <w:r w:rsidRPr="00CF56C0">
              <w:rPr>
                <w:rFonts w:ascii="Calibri" w:hAnsi="Calibri" w:cs="Calibri"/>
              </w:rPr>
              <w:t xml:space="preserve">alguna </w:t>
            </w:r>
            <w:r w:rsidR="00A50C62" w:rsidRPr="00CF56C0">
              <w:rPr>
                <w:rFonts w:ascii="Calibri" w:hAnsi="Calibri" w:cs="Calibri"/>
              </w:rPr>
              <w:t>situación de:</w:t>
            </w:r>
          </w:p>
          <w:p w14:paraId="337C8064" w14:textId="77777777" w:rsidR="00A50C62" w:rsidRDefault="00A50C62" w:rsidP="00F85960">
            <w:pPr>
              <w:jc w:val="both"/>
              <w:rPr>
                <w:rFonts w:ascii="Calibri" w:hAnsi="Calibri" w:cs="Calibri"/>
              </w:rPr>
            </w:pPr>
          </w:p>
          <w:p w14:paraId="4A565C63" w14:textId="77777777" w:rsidR="00A50C62" w:rsidRPr="00C03484" w:rsidRDefault="00A50C62" w:rsidP="00F85960">
            <w:pPr>
              <w:numPr>
                <w:ilvl w:val="0"/>
                <w:numId w:val="2"/>
              </w:numPr>
              <w:jc w:val="both"/>
              <w:rPr>
                <w:rFonts w:ascii="Calibri" w:hAnsi="Calibri" w:cs="Calibri"/>
              </w:rPr>
            </w:pPr>
            <w:r w:rsidRPr="00C03484">
              <w:rPr>
                <w:rFonts w:ascii="Calibri" w:hAnsi="Calibri" w:cs="Calibri"/>
              </w:rPr>
              <w:t>Incompatibilidad de las mencionadas de forma tasada en la Resolución de 20 de septiembre de 2017, de la Intervención General de la Administración del Estado, por la que se desarrolla el principio de independencia para el ejercicio de las funciones de control atribuidas a la Intervención General de la Administración del Estado.</w:t>
            </w:r>
          </w:p>
          <w:p w14:paraId="6E23168E" w14:textId="77777777" w:rsidR="00A50C62" w:rsidRDefault="00A50C62" w:rsidP="00F85960">
            <w:pPr>
              <w:numPr>
                <w:ilvl w:val="0"/>
                <w:numId w:val="2"/>
              </w:numPr>
              <w:jc w:val="both"/>
              <w:rPr>
                <w:rFonts w:ascii="Calibri" w:hAnsi="Calibri" w:cs="Calibri"/>
              </w:rPr>
            </w:pPr>
            <w:r w:rsidRPr="00C03484">
              <w:rPr>
                <w:rFonts w:ascii="Calibri" w:hAnsi="Calibri" w:cs="Calibri"/>
              </w:rPr>
              <w:t>Amenaza a la independencia de las mencionadas en la citada Resolución de 20 de septiembre de la IGAE o en la IONAPI.</w:t>
            </w:r>
          </w:p>
          <w:p w14:paraId="5325488F" w14:textId="77777777" w:rsidR="00A50C62" w:rsidRDefault="00A50C62" w:rsidP="00F85960">
            <w:pPr>
              <w:jc w:val="both"/>
              <w:rPr>
                <w:rFonts w:ascii="Calibri" w:hAnsi="Calibri" w:cs="Calibri"/>
              </w:rPr>
            </w:pPr>
          </w:p>
          <w:p w14:paraId="585D8345" w14:textId="77777777" w:rsidR="00A50C62" w:rsidRDefault="00A50C62" w:rsidP="00F85960">
            <w:pPr>
              <w:jc w:val="both"/>
              <w:rPr>
                <w:rFonts w:ascii="Calibri" w:hAnsi="Calibri" w:cs="Calibri"/>
              </w:rPr>
            </w:pPr>
            <w:r>
              <w:rPr>
                <w:rFonts w:ascii="Calibri" w:hAnsi="Calibri" w:cs="Calibri"/>
              </w:rPr>
              <w:t>Documentos:</w:t>
            </w:r>
          </w:p>
          <w:p w14:paraId="1681C86F" w14:textId="77777777" w:rsidR="00A50C62" w:rsidRDefault="00A50C62" w:rsidP="00F85960">
            <w:pPr>
              <w:numPr>
                <w:ilvl w:val="0"/>
                <w:numId w:val="2"/>
              </w:numPr>
              <w:jc w:val="both"/>
              <w:rPr>
                <w:rFonts w:ascii="Calibri" w:hAnsi="Calibri" w:cs="Calibri"/>
              </w:rPr>
            </w:pPr>
            <w:r>
              <w:rPr>
                <w:rFonts w:ascii="Calibri" w:hAnsi="Calibri" w:cs="Calibri"/>
              </w:rPr>
              <w:t>ANEXO III de la IONAPI</w:t>
            </w:r>
            <w:r w:rsidRPr="00DF5152">
              <w:rPr>
                <w:rFonts w:ascii="Calibri" w:hAnsi="Calibri" w:cs="Calibri"/>
              </w:rPr>
              <w:t>: Cuestionario de la autoevaluación de la protección de la inde</w:t>
            </w:r>
            <w:r>
              <w:rPr>
                <w:rFonts w:ascii="Calibri" w:hAnsi="Calibri" w:cs="Calibri"/>
              </w:rPr>
              <w:t>pendencia y la incompatibilidad.</w:t>
            </w:r>
          </w:p>
          <w:p w14:paraId="0BF3000D" w14:textId="77777777" w:rsidR="00A50C62" w:rsidRDefault="00A50C62" w:rsidP="00F85960">
            <w:pPr>
              <w:ind w:left="720"/>
              <w:jc w:val="both"/>
              <w:rPr>
                <w:rFonts w:ascii="Calibri" w:hAnsi="Calibri" w:cs="Calibri"/>
              </w:rPr>
            </w:pPr>
            <w:r>
              <w:rPr>
                <w:rFonts w:ascii="Calibri" w:hAnsi="Calibri" w:cs="Calibri"/>
              </w:rPr>
              <w:t>(Habrá contestado afirmativamente a alguna de las diez preguntas de este ANEXO III).</w:t>
            </w:r>
          </w:p>
          <w:p w14:paraId="0455AF45" w14:textId="77777777" w:rsidR="00A50C62" w:rsidRDefault="00A50C62" w:rsidP="00F85960">
            <w:pPr>
              <w:numPr>
                <w:ilvl w:val="0"/>
                <w:numId w:val="2"/>
              </w:numPr>
              <w:jc w:val="both"/>
              <w:rPr>
                <w:rFonts w:ascii="Calibri" w:hAnsi="Calibri" w:cs="Calibri"/>
              </w:rPr>
            </w:pPr>
            <w:r>
              <w:rPr>
                <w:rFonts w:ascii="Calibri" w:hAnsi="Calibri" w:cs="Calibri"/>
              </w:rPr>
              <w:t xml:space="preserve">ANEXO V de la IONAPI: </w:t>
            </w:r>
            <w:r w:rsidRPr="00DF5152">
              <w:rPr>
                <w:rFonts w:ascii="Calibri" w:hAnsi="Calibri" w:cs="Calibri"/>
              </w:rPr>
              <w:t>Comunicación o consulta formulada en relación con algún supuesto de protección de la independencia y la incompatibilidad</w:t>
            </w:r>
            <w:r>
              <w:rPr>
                <w:rFonts w:ascii="Calibri" w:hAnsi="Calibri" w:cs="Calibri"/>
              </w:rPr>
              <w:t xml:space="preserve">. </w:t>
            </w:r>
            <w:r w:rsidRPr="00DF5152">
              <w:rPr>
                <w:rFonts w:ascii="Calibri" w:hAnsi="Calibri" w:cs="Calibri"/>
              </w:rPr>
              <w:t xml:space="preserve">(Se cumplimentará exclusivamente si </w:t>
            </w:r>
            <w:r>
              <w:rPr>
                <w:rFonts w:ascii="Calibri" w:hAnsi="Calibri" w:cs="Calibri"/>
              </w:rPr>
              <w:t>en el ANEXO III se ha contestado “sí” a alguna de las diez preguntas).</w:t>
            </w:r>
          </w:p>
          <w:p w14:paraId="6631948C" w14:textId="412FF74E" w:rsidR="00A50C62" w:rsidRPr="00A50C62" w:rsidRDefault="00A50C62" w:rsidP="00F85960">
            <w:pPr>
              <w:numPr>
                <w:ilvl w:val="0"/>
                <w:numId w:val="2"/>
              </w:numPr>
              <w:jc w:val="both"/>
              <w:rPr>
                <w:rFonts w:ascii="Calibri" w:hAnsi="Calibri" w:cs="Calibri"/>
              </w:rPr>
            </w:pPr>
            <w:r>
              <w:rPr>
                <w:rFonts w:ascii="Calibri" w:hAnsi="Calibri" w:cs="Calibri"/>
              </w:rPr>
              <w:t>ANEXO IV de la IONAPI</w:t>
            </w:r>
            <w:r w:rsidRPr="00DF5152">
              <w:rPr>
                <w:rFonts w:ascii="Calibri" w:hAnsi="Calibri" w:cs="Calibri"/>
              </w:rPr>
              <w:t>: Documento de conclusiones sobre la autoevaluación de la independencia y la incompatibilidad para un trabajo de control concreto</w:t>
            </w:r>
            <w:r>
              <w:rPr>
                <w:rFonts w:ascii="Calibri" w:hAnsi="Calibri" w:cs="Calibri"/>
              </w:rPr>
              <w:t>. (Se emitirá exclusivamente una vez se haya recibido el ANEXO VI por parte del responsable del órgano</w:t>
            </w:r>
            <w:r w:rsidR="001A73E0">
              <w:rPr>
                <w:rFonts w:ascii="Calibri" w:hAnsi="Calibri" w:cs="Calibri"/>
              </w:rPr>
              <w:t xml:space="preserve"> interventor de la</w:t>
            </w:r>
            <w:r w:rsidR="00AA32C1">
              <w:rPr>
                <w:rFonts w:ascii="Calibri" w:hAnsi="Calibri" w:cs="Calibri"/>
              </w:rPr>
              <w:t xml:space="preserve"> entidad local</w:t>
            </w:r>
            <w:r>
              <w:rPr>
                <w:rFonts w:ascii="Calibri" w:hAnsi="Calibri" w:cs="Calibri"/>
              </w:rPr>
              <w:t>).</w:t>
            </w:r>
          </w:p>
          <w:p w14:paraId="171CBEB1" w14:textId="77777777" w:rsidR="00A50C62" w:rsidRDefault="00A50C62" w:rsidP="00F85960">
            <w:pPr>
              <w:jc w:val="both"/>
              <w:rPr>
                <w:rFonts w:ascii="Calibri" w:hAnsi="Calibri" w:cs="Calibri"/>
              </w:rPr>
            </w:pPr>
          </w:p>
        </w:tc>
      </w:tr>
      <w:tr w:rsidR="00DF5152" w14:paraId="64C6F009" w14:textId="77777777" w:rsidTr="00D62FEB">
        <w:tc>
          <w:tcPr>
            <w:tcW w:w="855" w:type="dxa"/>
          </w:tcPr>
          <w:p w14:paraId="6A054EFB" w14:textId="38C9E47C" w:rsidR="00DF5152" w:rsidRDefault="00DF5152" w:rsidP="00F85960">
            <w:pPr>
              <w:jc w:val="both"/>
            </w:pPr>
            <w:r>
              <w:t xml:space="preserve">6 </w:t>
            </w:r>
          </w:p>
        </w:tc>
        <w:tc>
          <w:tcPr>
            <w:tcW w:w="6976" w:type="dxa"/>
          </w:tcPr>
          <w:p w14:paraId="68B3E5E6" w14:textId="796C0B3A" w:rsidR="00DF5152" w:rsidRDefault="00DF5152" w:rsidP="00F85960">
            <w:pPr>
              <w:jc w:val="both"/>
              <w:rPr>
                <w:rFonts w:ascii="Calibri" w:hAnsi="Calibri" w:cs="Calibri"/>
              </w:rPr>
            </w:pPr>
            <w:r>
              <w:rPr>
                <w:rFonts w:ascii="Calibri" w:hAnsi="Calibri" w:cs="Calibri"/>
              </w:rPr>
              <w:t xml:space="preserve">Documentos que han de ser emitidos y firmados por el responsable de la auditoría de cuentas pública, </w:t>
            </w:r>
            <w:r w:rsidR="00354D09">
              <w:rPr>
                <w:rFonts w:ascii="Calibri" w:hAnsi="Calibri" w:cs="Calibri"/>
              </w:rPr>
              <w:t xml:space="preserve">órgano </w:t>
            </w:r>
            <w:r w:rsidR="001A73E0">
              <w:rPr>
                <w:rFonts w:ascii="Calibri" w:hAnsi="Calibri" w:cs="Calibri"/>
              </w:rPr>
              <w:t>interventor de la</w:t>
            </w:r>
            <w:r w:rsidR="00AA32C1">
              <w:rPr>
                <w:rFonts w:ascii="Calibri" w:hAnsi="Calibri" w:cs="Calibri"/>
              </w:rPr>
              <w:t xml:space="preserve"> entidad local</w:t>
            </w:r>
            <w:r>
              <w:rPr>
                <w:rFonts w:ascii="Calibri" w:hAnsi="Calibri" w:cs="Calibri"/>
              </w:rPr>
              <w:t>:</w:t>
            </w:r>
          </w:p>
          <w:p w14:paraId="588785EA" w14:textId="5E2021EC" w:rsidR="00DF5152" w:rsidRPr="00DF5152" w:rsidRDefault="00DF5152" w:rsidP="00F85960">
            <w:pPr>
              <w:numPr>
                <w:ilvl w:val="0"/>
                <w:numId w:val="3"/>
              </w:numPr>
              <w:jc w:val="both"/>
              <w:rPr>
                <w:rFonts w:ascii="Calibri" w:hAnsi="Calibri" w:cs="Calibri"/>
              </w:rPr>
            </w:pPr>
            <w:r>
              <w:rPr>
                <w:rFonts w:ascii="Calibri" w:hAnsi="Calibri" w:cs="Calibri"/>
              </w:rPr>
              <w:t>ANEXO VI de la IONAPI</w:t>
            </w:r>
            <w:r w:rsidRPr="00DF5152">
              <w:rPr>
                <w:rFonts w:ascii="Calibri" w:hAnsi="Calibri" w:cs="Calibri"/>
              </w:rPr>
              <w:t>: Memoria de evaluación de la protección de la independencia y la incompatibilidad</w:t>
            </w:r>
            <w:r>
              <w:rPr>
                <w:rFonts w:ascii="Calibri" w:hAnsi="Calibri" w:cs="Calibri"/>
              </w:rPr>
              <w:t xml:space="preserve">. (Se emitirá exclusivamente </w:t>
            </w:r>
            <w:r>
              <w:rPr>
                <w:rFonts w:ascii="Calibri" w:hAnsi="Calibri" w:cs="Calibri"/>
              </w:rPr>
              <w:lastRenderedPageBreak/>
              <w:t xml:space="preserve">si el auditor </w:t>
            </w:r>
            <w:r w:rsidR="001A73E0">
              <w:rPr>
                <w:rFonts w:ascii="Calibri" w:hAnsi="Calibri" w:cs="Calibri"/>
              </w:rPr>
              <w:t>colaborador</w:t>
            </w:r>
            <w:r>
              <w:rPr>
                <w:rFonts w:ascii="Calibri" w:hAnsi="Calibri" w:cs="Calibri"/>
              </w:rPr>
              <w:t xml:space="preserve"> ha reportado una situación de posible amenaza a la independencia o incompatibilidad al haber cumplimentado el </w:t>
            </w:r>
            <w:r w:rsidR="00A50C62">
              <w:rPr>
                <w:rFonts w:ascii="Calibri" w:hAnsi="Calibri" w:cs="Calibri"/>
              </w:rPr>
              <w:t xml:space="preserve">ANEXO III con alguna respuesta afirmativa y el </w:t>
            </w:r>
            <w:r>
              <w:rPr>
                <w:rFonts w:ascii="Calibri" w:hAnsi="Calibri" w:cs="Calibri"/>
              </w:rPr>
              <w:t>Anexo V).</w:t>
            </w:r>
          </w:p>
          <w:p w14:paraId="62294848" w14:textId="77777777" w:rsidR="00DF5152" w:rsidRDefault="00DF5152" w:rsidP="00F85960">
            <w:pPr>
              <w:jc w:val="both"/>
              <w:rPr>
                <w:rFonts w:ascii="Calibri" w:hAnsi="Calibri" w:cs="Calibri"/>
              </w:rPr>
            </w:pPr>
          </w:p>
        </w:tc>
      </w:tr>
      <w:tr w:rsidR="004D10BD" w14:paraId="66FE211C" w14:textId="77777777" w:rsidTr="00D62FEB">
        <w:tc>
          <w:tcPr>
            <w:tcW w:w="855" w:type="dxa"/>
          </w:tcPr>
          <w:p w14:paraId="3EF3691A" w14:textId="344F3C85" w:rsidR="004D10BD" w:rsidRDefault="004D10BD" w:rsidP="00F85960">
            <w:pPr>
              <w:jc w:val="both"/>
            </w:pPr>
            <w:r>
              <w:lastRenderedPageBreak/>
              <w:t>7</w:t>
            </w:r>
          </w:p>
        </w:tc>
        <w:tc>
          <w:tcPr>
            <w:tcW w:w="6976" w:type="dxa"/>
          </w:tcPr>
          <w:p w14:paraId="73DF3AD8" w14:textId="75C5AE84" w:rsidR="007B1D23" w:rsidRDefault="004D10BD" w:rsidP="00F85960">
            <w:pPr>
              <w:jc w:val="both"/>
            </w:pPr>
            <w:r>
              <w:t xml:space="preserve">Modelo de declaración anual de </w:t>
            </w:r>
            <w:r w:rsidR="00CF56C0">
              <w:t xml:space="preserve">ética e </w:t>
            </w:r>
            <w:r>
              <w:t>independencia</w:t>
            </w:r>
            <w:r w:rsidR="007B1D23">
              <w:t>.</w:t>
            </w:r>
          </w:p>
          <w:p w14:paraId="28196D07" w14:textId="17A6D0F3" w:rsidR="007B1D23" w:rsidRDefault="007B1D23" w:rsidP="00F85960">
            <w:pPr>
              <w:jc w:val="both"/>
              <w:rPr>
                <w:rFonts w:ascii="Calibri" w:hAnsi="Calibri" w:cs="Calibri"/>
              </w:rPr>
            </w:pPr>
            <w:r>
              <w:rPr>
                <w:rFonts w:ascii="Calibri" w:hAnsi="Calibri" w:cs="Calibri"/>
              </w:rPr>
              <w:t xml:space="preserve">Sería recomendable, en atención a lo dispuesto en el apartado </w:t>
            </w:r>
            <w:r w:rsidR="00AA32C1">
              <w:rPr>
                <w:rFonts w:ascii="Calibri" w:hAnsi="Calibri" w:cs="Calibri"/>
              </w:rPr>
              <w:t>34. (</w:t>
            </w:r>
            <w:r w:rsidR="00F17932">
              <w:rPr>
                <w:rFonts w:ascii="Calibri" w:hAnsi="Calibri" w:cs="Calibri"/>
              </w:rPr>
              <w:t>b)</w:t>
            </w:r>
            <w:r>
              <w:rPr>
                <w:rFonts w:ascii="Calibri" w:hAnsi="Calibri" w:cs="Calibri"/>
              </w:rPr>
              <w:t xml:space="preserve"> de la NIGC 1-ES-SP, que se realizase una declaración anual de ética e independencia de modo similar al ámbito aplicable al ámbito de la IGAE, que a continuación se describe:</w:t>
            </w:r>
          </w:p>
          <w:p w14:paraId="5ADDF712" w14:textId="727862C2" w:rsidR="004D10BD" w:rsidRDefault="004D10BD" w:rsidP="00F85960">
            <w:pPr>
              <w:jc w:val="both"/>
            </w:pPr>
          </w:p>
          <w:p w14:paraId="105C55FE" w14:textId="77777777" w:rsidR="004D10BD" w:rsidRDefault="004D10BD" w:rsidP="00F85960">
            <w:pPr>
              <w:jc w:val="both"/>
            </w:pPr>
          </w:p>
          <w:p w14:paraId="2922C155" w14:textId="77777777" w:rsidR="00FF17DE" w:rsidRDefault="00FF17DE" w:rsidP="00F85960">
            <w:pPr>
              <w:jc w:val="both"/>
              <w:rPr>
                <w:b/>
              </w:rPr>
            </w:pPr>
          </w:p>
          <w:p w14:paraId="415BACB1" w14:textId="6C0C2635" w:rsidR="004D10BD" w:rsidRPr="00C55947" w:rsidRDefault="004D10BD" w:rsidP="00F85960">
            <w:pPr>
              <w:jc w:val="both"/>
              <w:rPr>
                <w:b/>
              </w:rPr>
            </w:pPr>
            <w:r w:rsidRPr="00C55947">
              <w:rPr>
                <w:b/>
              </w:rPr>
              <w:t>DECLARACIÓN ANUAL DE ÉTICA E INDEPENDENCIA</w:t>
            </w:r>
          </w:p>
          <w:p w14:paraId="74FCDDB6" w14:textId="11C24CC7" w:rsidR="004D10BD" w:rsidRDefault="004D10BD" w:rsidP="00F85960">
            <w:pPr>
              <w:jc w:val="both"/>
            </w:pPr>
            <w:r>
              <w:t xml:space="preserve">D. XXXXXXXXXXXXXXXXXXXXXXXXXX, auditor </w:t>
            </w:r>
            <w:r w:rsidR="001A73E0">
              <w:t>colaborador</w:t>
            </w:r>
            <w:r>
              <w:t xml:space="preserve"> para colaborar en la auditoría pública XXXXXX:</w:t>
            </w:r>
          </w:p>
          <w:p w14:paraId="23D28009" w14:textId="77777777" w:rsidR="004D10BD" w:rsidRDefault="004D10BD" w:rsidP="00F85960">
            <w:pPr>
              <w:jc w:val="both"/>
            </w:pPr>
          </w:p>
          <w:p w14:paraId="5D86A8EB" w14:textId="77777777" w:rsidR="004D10BD" w:rsidRDefault="004D10BD" w:rsidP="00F85960">
            <w:pPr>
              <w:jc w:val="both"/>
            </w:pPr>
            <w:r>
              <w:t>Confirmo, de acuerdo con mi leal saber y entender, lo siguiente:</w:t>
            </w:r>
          </w:p>
          <w:p w14:paraId="120B1C6F" w14:textId="77777777" w:rsidR="004D10BD" w:rsidRDefault="004D10BD" w:rsidP="00F85960">
            <w:pPr>
              <w:jc w:val="both"/>
            </w:pPr>
            <w:r>
              <w:t>Tengo conocimiento actualizado, comprendo y cumplo con mis responsabilidades en relación con los requerimientos de ética y de protección de la independencia, además de a los que estoy obligado por la Ley 22/2015, de 20 de julio, de auditoría de cuentas, a los que se refiere la Norma Internacional de Gestión de la Calidad 1 adaptada para su aplicación al sector público español (NIGC 1-ES-SP), aprobada por Resolución de la Intervención General del Estado de 22 de mayo de 2023, recogidos en:</w:t>
            </w:r>
          </w:p>
          <w:p w14:paraId="4F4E98BA" w14:textId="77777777" w:rsidR="004D10BD" w:rsidRDefault="004D10BD" w:rsidP="00F85960">
            <w:pPr>
              <w:pStyle w:val="Prrafodelista"/>
              <w:numPr>
                <w:ilvl w:val="0"/>
                <w:numId w:val="5"/>
              </w:numPr>
              <w:jc w:val="both"/>
            </w:pPr>
            <w:r>
              <w:t>El Código de Ética aprobado por Resolución de 25 de octubre de 2019, de la Intervención General del Estado por la que se aprueba la adaptación de las Normas de Auditoría del Sector Público a las Normas Internacionales de Auditoría.</w:t>
            </w:r>
          </w:p>
          <w:p w14:paraId="1545FF93" w14:textId="77777777" w:rsidR="004D10BD" w:rsidRDefault="004D10BD" w:rsidP="00F85960">
            <w:pPr>
              <w:pStyle w:val="Prrafodelista"/>
              <w:numPr>
                <w:ilvl w:val="0"/>
                <w:numId w:val="5"/>
              </w:numPr>
              <w:jc w:val="both"/>
            </w:pPr>
            <w:r>
              <w:t>La Resolución de 20 de septiembre de 2017, de la Intervención General de la Administración del Estado, por la que se desarrolla el principio de independencia para el ejercicio de las funciones de control atribuidas a la Intervención General de la Administración del Estado.</w:t>
            </w:r>
          </w:p>
          <w:p w14:paraId="396A6260" w14:textId="7ABEED54" w:rsidR="004D10BD" w:rsidRDefault="004D10BD" w:rsidP="00F85960">
            <w:pPr>
              <w:pStyle w:val="Prrafodelista"/>
              <w:numPr>
                <w:ilvl w:val="0"/>
                <w:numId w:val="5"/>
              </w:numPr>
              <w:jc w:val="both"/>
            </w:pPr>
            <w:r>
              <w:t xml:space="preserve">La Instrucción de la Oficina Nacional de Auditoría 1/2018, sobre la protección de la independencia en los trabajos de Auditoría Pública, Control Financiero Permanente, Control Financiero de Subvenciones y Control de Fondos Europeos (IONAPI), en lo que pueda aplicarse o en las instrucciones que para el concreto ámbito del órgano </w:t>
            </w:r>
            <w:r w:rsidR="001A73E0">
              <w:rPr>
                <w:rFonts w:ascii="Calibri" w:hAnsi="Calibri" w:cs="Calibri"/>
              </w:rPr>
              <w:t>interventor de la</w:t>
            </w:r>
            <w:r w:rsidR="00AA32C1">
              <w:rPr>
                <w:rFonts w:ascii="Calibri" w:hAnsi="Calibri" w:cs="Calibri"/>
              </w:rPr>
              <w:t xml:space="preserve"> entidad local</w:t>
            </w:r>
            <w:r w:rsidR="001A73E0" w:rsidDel="001A73E0">
              <w:t xml:space="preserve"> </w:t>
            </w:r>
            <w:r>
              <w:t>se tengan establecidas.</w:t>
            </w:r>
          </w:p>
          <w:p w14:paraId="414CCAA7" w14:textId="77777777" w:rsidR="004D10BD" w:rsidRDefault="004D10BD" w:rsidP="00F85960">
            <w:pPr>
              <w:pStyle w:val="Prrafodelista"/>
              <w:jc w:val="both"/>
            </w:pPr>
          </w:p>
          <w:p w14:paraId="3A0730F9" w14:textId="77777777" w:rsidR="004D10BD" w:rsidRDefault="004D10BD" w:rsidP="00F85960">
            <w:pPr>
              <w:jc w:val="both"/>
            </w:pPr>
            <w:r>
              <w:t>El periodo confirmado comprende desde el momento de la firma de esta declaración, hasta la finalización del contrato.</w:t>
            </w:r>
          </w:p>
          <w:p w14:paraId="40EEA529" w14:textId="77777777" w:rsidR="004D10BD" w:rsidRDefault="004D10BD" w:rsidP="00F85960">
            <w:pPr>
              <w:jc w:val="both"/>
            </w:pPr>
          </w:p>
          <w:p w14:paraId="1E42F488" w14:textId="63D602D7" w:rsidR="004D10BD" w:rsidRDefault="004D10BD" w:rsidP="00F85960">
            <w:pPr>
              <w:jc w:val="both"/>
            </w:pPr>
            <w:r>
              <w:t xml:space="preserve">Asimismo, manifiesto que, en caso de sobrevenir alguna circunstancia que supusiese una variación respecto del contenido de esta declaración o un incumplimiento o amenaza a la independencia que llegue a mi conocimiento, lo notificaré con prontitud mediante el procedimiento establecido en la IONAPI, en lo que pueda aplicarse o en las instrucciones </w:t>
            </w:r>
            <w:r>
              <w:lastRenderedPageBreak/>
              <w:t xml:space="preserve">que para el concreto ámbito del órgano </w:t>
            </w:r>
            <w:r w:rsidR="001A73E0">
              <w:rPr>
                <w:rFonts w:ascii="Calibri" w:hAnsi="Calibri" w:cs="Calibri"/>
              </w:rPr>
              <w:t>interventor de la</w:t>
            </w:r>
            <w:r w:rsidR="00AA32C1">
              <w:rPr>
                <w:rFonts w:ascii="Calibri" w:hAnsi="Calibri" w:cs="Calibri"/>
              </w:rPr>
              <w:t xml:space="preserve"> entidad local</w:t>
            </w:r>
            <w:r w:rsidR="001A73E0" w:rsidDel="001A73E0">
              <w:t xml:space="preserve"> </w:t>
            </w:r>
            <w:r>
              <w:t>se tengan establecidas.</w:t>
            </w:r>
          </w:p>
          <w:p w14:paraId="09ABC8B2" w14:textId="77777777" w:rsidR="004D10BD" w:rsidRDefault="004D10BD" w:rsidP="00F85960">
            <w:pPr>
              <w:jc w:val="both"/>
            </w:pPr>
            <w:r>
              <w:t>Fecha y firma:</w:t>
            </w:r>
          </w:p>
          <w:p w14:paraId="1B13F080" w14:textId="6164A6C8" w:rsidR="004D10BD" w:rsidRDefault="004D10BD" w:rsidP="00F85960">
            <w:pPr>
              <w:spacing w:before="100" w:beforeAutospacing="1" w:after="100" w:afterAutospacing="1"/>
              <w:jc w:val="both"/>
              <w:rPr>
                <w:rFonts w:ascii="Calibri" w:hAnsi="Calibri" w:cs="Calibri"/>
              </w:rPr>
            </w:pPr>
          </w:p>
        </w:tc>
      </w:tr>
      <w:tr w:rsidR="004D10BD" w14:paraId="7A742E70" w14:textId="77777777" w:rsidTr="00B23DC4">
        <w:trPr>
          <w:trHeight w:val="376"/>
        </w:trPr>
        <w:tc>
          <w:tcPr>
            <w:tcW w:w="855" w:type="dxa"/>
          </w:tcPr>
          <w:p w14:paraId="3E491B5E" w14:textId="5ED17B21" w:rsidR="004D10BD" w:rsidRPr="002B1DB0" w:rsidRDefault="004D10BD" w:rsidP="00F85960">
            <w:pPr>
              <w:jc w:val="both"/>
            </w:pPr>
            <w:r>
              <w:lastRenderedPageBreak/>
              <w:t>8</w:t>
            </w:r>
          </w:p>
        </w:tc>
        <w:tc>
          <w:tcPr>
            <w:tcW w:w="6976" w:type="dxa"/>
          </w:tcPr>
          <w:p w14:paraId="15ABCA14" w14:textId="77777777" w:rsidR="004D10BD" w:rsidRPr="002B1DB0" w:rsidRDefault="004D10BD" w:rsidP="00F85960">
            <w:pPr>
              <w:jc w:val="both"/>
            </w:pPr>
            <w:r w:rsidRPr="002B1DB0">
              <w:t>Se ha documentado y archivado en los papeles de trabajo de la auditoría.</w:t>
            </w:r>
          </w:p>
        </w:tc>
      </w:tr>
    </w:tbl>
    <w:p w14:paraId="56268256" w14:textId="77777777" w:rsidR="00DF5152" w:rsidRDefault="00DF5152" w:rsidP="00F85960">
      <w:pPr>
        <w:jc w:val="both"/>
      </w:pPr>
    </w:p>
    <w:sectPr w:rsidR="00DF5152" w:rsidSect="006A7509">
      <w:headerReference w:type="default" r:id="rId9"/>
      <w:footerReference w:type="default" r:id="rId10"/>
      <w:headerReference w:type="first" r:id="rId11"/>
      <w:footerReference w:type="first" r:id="rId12"/>
      <w:pgSz w:w="11906" w:h="16838"/>
      <w:pgMar w:top="1417" w:right="1701" w:bottom="1417" w:left="1701" w:header="426"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200B3" w14:textId="77777777" w:rsidR="004D43C5" w:rsidRDefault="004D43C5" w:rsidP="00DF5152">
      <w:pPr>
        <w:spacing w:after="0" w:line="240" w:lineRule="auto"/>
      </w:pPr>
      <w:r>
        <w:separator/>
      </w:r>
    </w:p>
  </w:endnote>
  <w:endnote w:type="continuationSeparator" w:id="0">
    <w:p w14:paraId="2C4A2161" w14:textId="77777777" w:rsidR="004D43C5" w:rsidRDefault="004D43C5" w:rsidP="00DF5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arrison Light Sans">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46"/>
      <w:gridCol w:w="1760"/>
    </w:tblGrid>
    <w:tr w:rsidR="005448A7" w:rsidRPr="005448A7" w14:paraId="2E75F9AC" w14:textId="77777777" w:rsidTr="005448A7">
      <w:trPr>
        <w:trHeight w:val="364"/>
        <w:jc w:val="center"/>
      </w:trPr>
      <w:tc>
        <w:tcPr>
          <w:tcW w:w="8446" w:type="dxa"/>
          <w:tcMar>
            <w:left w:w="0" w:type="dxa"/>
          </w:tcMar>
        </w:tcPr>
        <w:p w14:paraId="08A929C1" w14:textId="77777777" w:rsidR="005448A7" w:rsidRPr="005448A7" w:rsidRDefault="005448A7" w:rsidP="005448A7">
          <w:pPr>
            <w:tabs>
              <w:tab w:val="center" w:pos="4252"/>
              <w:tab w:val="right" w:pos="8504"/>
            </w:tabs>
            <w:rPr>
              <w:rFonts w:ascii="Gill Sans MT" w:hAnsi="Gill Sans MT"/>
              <w:sz w:val="14"/>
              <w:szCs w:val="14"/>
              <w:lang w:val="es-ES_tradnl"/>
            </w:rPr>
          </w:pPr>
        </w:p>
      </w:tc>
      <w:tc>
        <w:tcPr>
          <w:tcW w:w="1760" w:type="dxa"/>
          <w:tcBorders>
            <w:bottom w:val="single" w:sz="4" w:space="0" w:color="auto"/>
          </w:tcBorders>
          <w:tcMar>
            <w:left w:w="45" w:type="dxa"/>
          </w:tcMar>
        </w:tcPr>
        <w:p w14:paraId="5CB38EB4" w14:textId="77777777" w:rsidR="005448A7" w:rsidRPr="005448A7" w:rsidRDefault="005448A7" w:rsidP="005448A7">
          <w:pPr>
            <w:tabs>
              <w:tab w:val="center" w:pos="4252"/>
              <w:tab w:val="right" w:pos="8504"/>
            </w:tabs>
            <w:rPr>
              <w:rFonts w:ascii="Gill Sans MT" w:hAnsi="Gill Sans MT"/>
              <w:sz w:val="10"/>
              <w:szCs w:val="10"/>
              <w:lang w:val="es-ES_tradnl"/>
            </w:rPr>
          </w:pPr>
        </w:p>
        <w:p w14:paraId="6F767511" w14:textId="77777777" w:rsidR="005448A7" w:rsidRPr="005448A7" w:rsidRDefault="005448A7" w:rsidP="005448A7">
          <w:pPr>
            <w:tabs>
              <w:tab w:val="center" w:pos="4252"/>
              <w:tab w:val="right" w:pos="8504"/>
            </w:tabs>
            <w:rPr>
              <w:rFonts w:ascii="Gill Sans MT" w:hAnsi="Gill Sans MT"/>
              <w:sz w:val="2"/>
              <w:szCs w:val="2"/>
              <w:lang w:val="es-ES_tradnl"/>
            </w:rPr>
          </w:pPr>
          <w:r w:rsidRPr="005448A7">
            <w:rPr>
              <w:rFonts w:ascii="Gill Sans MT" w:hAnsi="Gill Sans MT"/>
              <w:sz w:val="10"/>
              <w:szCs w:val="10"/>
              <w:lang w:val="es-ES_tradnl"/>
            </w:rPr>
            <w:t>MINISTERIO</w:t>
          </w:r>
          <w:r w:rsidRPr="005448A7">
            <w:rPr>
              <w:rFonts w:ascii="Gill Sans MT" w:hAnsi="Gill Sans MT"/>
              <w:sz w:val="10"/>
              <w:szCs w:val="10"/>
              <w:lang w:val="es-ES_tradnl"/>
            </w:rPr>
            <w:br/>
            <w:t>DE HACIENDA</w:t>
          </w:r>
          <w:r w:rsidRPr="005448A7">
            <w:rPr>
              <w:rFonts w:ascii="Gill Sans MT" w:hAnsi="Gill Sans MT"/>
              <w:sz w:val="10"/>
              <w:szCs w:val="10"/>
              <w:lang w:val="es-ES_tradnl"/>
            </w:rPr>
            <w:br/>
          </w:r>
        </w:p>
      </w:tc>
    </w:tr>
    <w:tr w:rsidR="005448A7" w:rsidRPr="005448A7" w14:paraId="337FBF96" w14:textId="77777777" w:rsidTr="005448A7">
      <w:trPr>
        <w:trHeight w:val="364"/>
        <w:jc w:val="center"/>
      </w:trPr>
      <w:tc>
        <w:tcPr>
          <w:tcW w:w="8446" w:type="dxa"/>
          <w:tcMar>
            <w:left w:w="0" w:type="dxa"/>
          </w:tcMar>
        </w:tcPr>
        <w:p w14:paraId="7EF815EB" w14:textId="77777777" w:rsidR="005448A7" w:rsidRPr="005448A7" w:rsidRDefault="005448A7" w:rsidP="005448A7">
          <w:pPr>
            <w:tabs>
              <w:tab w:val="center" w:pos="5812"/>
              <w:tab w:val="right" w:pos="8504"/>
            </w:tabs>
            <w:rPr>
              <w:rFonts w:ascii="Arial" w:hAnsi="Arial"/>
              <w:sz w:val="10"/>
              <w:szCs w:val="10"/>
              <w:lang w:val="es-ES_tradnl"/>
            </w:rPr>
          </w:pPr>
        </w:p>
        <w:p w14:paraId="0E6DE1CB" w14:textId="77777777" w:rsidR="005448A7" w:rsidRPr="005448A7" w:rsidRDefault="005448A7" w:rsidP="005448A7">
          <w:pPr>
            <w:tabs>
              <w:tab w:val="center" w:pos="4820"/>
              <w:tab w:val="left" w:pos="5812"/>
            </w:tabs>
            <w:rPr>
              <w:rFonts w:ascii="Arial" w:hAnsi="Arial"/>
              <w:lang w:val="es-ES_tradnl"/>
            </w:rPr>
          </w:pPr>
          <w:r w:rsidRPr="005448A7">
            <w:rPr>
              <w:rFonts w:ascii="Arial" w:hAnsi="Arial" w:cs="Arial"/>
              <w:sz w:val="18"/>
              <w:szCs w:val="18"/>
              <w:lang w:val="es-ES_tradnl"/>
            </w:rPr>
            <w:tab/>
            <w:t xml:space="preserve">Pág. </w:t>
          </w:r>
          <w:r w:rsidRPr="005448A7">
            <w:rPr>
              <w:rFonts w:ascii="Arial" w:hAnsi="Arial" w:cs="Arial"/>
              <w:sz w:val="18"/>
              <w:szCs w:val="18"/>
              <w:lang w:val="es-ES_tradnl"/>
            </w:rPr>
            <w:fldChar w:fldCharType="begin"/>
          </w:r>
          <w:r w:rsidRPr="005448A7">
            <w:rPr>
              <w:rFonts w:ascii="Arial" w:hAnsi="Arial" w:cs="Arial"/>
              <w:sz w:val="18"/>
              <w:szCs w:val="18"/>
              <w:lang w:val="es-ES_tradnl"/>
            </w:rPr>
            <w:instrText>PAGE   \* MERGEFORMAT</w:instrText>
          </w:r>
          <w:r w:rsidRPr="005448A7">
            <w:rPr>
              <w:rFonts w:ascii="Arial" w:hAnsi="Arial" w:cs="Arial"/>
              <w:sz w:val="18"/>
              <w:szCs w:val="18"/>
              <w:lang w:val="es-ES_tradnl"/>
            </w:rPr>
            <w:fldChar w:fldCharType="separate"/>
          </w:r>
          <w:r w:rsidRPr="005448A7">
            <w:rPr>
              <w:rFonts w:ascii="Arial" w:hAnsi="Arial" w:cs="Arial"/>
              <w:noProof/>
              <w:sz w:val="18"/>
              <w:szCs w:val="18"/>
            </w:rPr>
            <w:t>2</w:t>
          </w:r>
          <w:r w:rsidRPr="005448A7">
            <w:rPr>
              <w:rFonts w:ascii="Arial" w:hAnsi="Arial" w:cs="Arial"/>
              <w:sz w:val="18"/>
              <w:szCs w:val="18"/>
              <w:lang w:val="es-ES_tradnl"/>
            </w:rPr>
            <w:fldChar w:fldCharType="end"/>
          </w:r>
          <w:r w:rsidRPr="005448A7">
            <w:rPr>
              <w:rFonts w:ascii="Arial" w:hAnsi="Arial" w:cs="Arial"/>
              <w:sz w:val="18"/>
              <w:szCs w:val="18"/>
              <w:lang w:val="es-ES_tradnl"/>
            </w:rPr>
            <w:tab/>
          </w:r>
        </w:p>
      </w:tc>
      <w:tc>
        <w:tcPr>
          <w:tcW w:w="1760" w:type="dxa"/>
          <w:tcBorders>
            <w:top w:val="single" w:sz="4" w:space="0" w:color="auto"/>
          </w:tcBorders>
          <w:tcMar>
            <w:left w:w="45" w:type="dxa"/>
          </w:tcMar>
        </w:tcPr>
        <w:p w14:paraId="287BE152" w14:textId="77777777" w:rsidR="005448A7" w:rsidRPr="005448A7" w:rsidRDefault="005448A7" w:rsidP="005448A7">
          <w:pPr>
            <w:spacing w:before="60"/>
            <w:rPr>
              <w:rFonts w:ascii="Gill Sans MT" w:hAnsi="Gill Sans MT"/>
              <w:sz w:val="10"/>
              <w:szCs w:val="10"/>
            </w:rPr>
          </w:pPr>
          <w:r w:rsidRPr="005448A7">
            <w:rPr>
              <w:rFonts w:ascii="Gill Sans MT" w:hAnsi="Gill Sans MT"/>
              <w:sz w:val="10"/>
              <w:szCs w:val="10"/>
              <w:lang w:val="es-ES_tradnl"/>
            </w:rPr>
            <w:t>INTERVENCIÓN GENERAL DE LA</w:t>
          </w:r>
          <w:r w:rsidRPr="005448A7">
            <w:rPr>
              <w:rFonts w:ascii="Gill Sans MT" w:hAnsi="Gill Sans MT"/>
              <w:sz w:val="10"/>
              <w:szCs w:val="10"/>
              <w:lang w:val="es-ES_tradnl"/>
            </w:rPr>
            <w:br/>
          </w:r>
          <w:r w:rsidRPr="005448A7">
            <w:rPr>
              <w:rFonts w:ascii="Gill Sans MT" w:hAnsi="Gill Sans MT"/>
              <w:sz w:val="10"/>
              <w:szCs w:val="10"/>
            </w:rPr>
            <w:t>ADMINISTRACIÓN DEL ESTADO</w:t>
          </w:r>
        </w:p>
      </w:tc>
    </w:tr>
  </w:tbl>
  <w:p w14:paraId="21481EE7" w14:textId="77777777" w:rsidR="005448A7" w:rsidRPr="005448A7" w:rsidRDefault="005448A7">
    <w:pPr>
      <w:pStyle w:val="Piedepgina"/>
      <w:rPr>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margin" w:tblpX="-1002" w:tblpY="1"/>
      <w:tblOverlap w:val="never"/>
      <w:tblW w:w="10768" w:type="dxa"/>
      <w:tblBorders>
        <w:insideV w:val="single" w:sz="4" w:space="0" w:color="auto"/>
      </w:tblBorders>
      <w:tblCellMar>
        <w:left w:w="70" w:type="dxa"/>
        <w:right w:w="70" w:type="dxa"/>
      </w:tblCellMar>
      <w:tblLook w:val="0000" w:firstRow="0" w:lastRow="0" w:firstColumn="0" w:lastColumn="0" w:noHBand="0" w:noVBand="0"/>
    </w:tblPr>
    <w:tblGrid>
      <w:gridCol w:w="1915"/>
      <w:gridCol w:w="1262"/>
      <w:gridCol w:w="5465"/>
      <w:gridCol w:w="2126"/>
    </w:tblGrid>
    <w:tr w:rsidR="005448A7" w:rsidRPr="005448A7" w14:paraId="73259438" w14:textId="77777777" w:rsidTr="005448A7">
      <w:trPr>
        <w:trHeight w:val="85"/>
      </w:trPr>
      <w:tc>
        <w:tcPr>
          <w:tcW w:w="1915" w:type="dxa"/>
          <w:tcBorders>
            <w:top w:val="nil"/>
            <w:left w:val="nil"/>
            <w:bottom w:val="nil"/>
            <w:right w:val="nil"/>
          </w:tcBorders>
          <w:vAlign w:val="bottom"/>
        </w:tcPr>
        <w:p w14:paraId="4D6C7FE5" w14:textId="16D98891" w:rsidR="005448A7" w:rsidRPr="005448A7" w:rsidRDefault="005448A7" w:rsidP="005448A7">
          <w:pPr>
            <w:tabs>
              <w:tab w:val="left" w:pos="1021"/>
            </w:tabs>
            <w:spacing w:after="0" w:line="240" w:lineRule="auto"/>
            <w:ind w:right="-852"/>
            <w:rPr>
              <w:rFonts w:ascii="Gill Sans MT" w:eastAsia="Times New Roman" w:hAnsi="Gill Sans MT" w:cs="Arial"/>
              <w:sz w:val="14"/>
              <w:szCs w:val="20"/>
              <w:lang w:val="es-ES_tradnl" w:eastAsia="es-ES"/>
            </w:rPr>
          </w:pPr>
        </w:p>
      </w:tc>
      <w:tc>
        <w:tcPr>
          <w:tcW w:w="6727" w:type="dxa"/>
          <w:gridSpan w:val="2"/>
          <w:tcBorders>
            <w:top w:val="nil"/>
            <w:left w:val="nil"/>
            <w:bottom w:val="nil"/>
            <w:right w:val="single" w:sz="6" w:space="0" w:color="auto"/>
          </w:tcBorders>
          <w:vAlign w:val="bottom"/>
        </w:tcPr>
        <w:p w14:paraId="56734650" w14:textId="77777777" w:rsidR="005448A7" w:rsidRPr="005448A7" w:rsidRDefault="005448A7" w:rsidP="005448A7">
          <w:pPr>
            <w:tabs>
              <w:tab w:val="left" w:pos="1021"/>
              <w:tab w:val="left" w:pos="8080"/>
            </w:tabs>
            <w:spacing w:after="0" w:line="240" w:lineRule="auto"/>
            <w:ind w:left="709" w:right="-852"/>
            <w:rPr>
              <w:rFonts w:ascii="Gill Sans MT" w:eastAsia="Times New Roman" w:hAnsi="Gill Sans MT" w:cs="Arial"/>
              <w:sz w:val="14"/>
              <w:szCs w:val="20"/>
              <w:lang w:val="es-ES_tradnl" w:eastAsia="es-ES"/>
            </w:rPr>
          </w:pPr>
        </w:p>
      </w:tc>
      <w:tc>
        <w:tcPr>
          <w:tcW w:w="2126" w:type="dxa"/>
          <w:vMerge w:val="restart"/>
          <w:tcBorders>
            <w:left w:val="single" w:sz="6" w:space="0" w:color="auto"/>
          </w:tcBorders>
        </w:tcPr>
        <w:p w14:paraId="1F5D47E7" w14:textId="77777777" w:rsidR="005448A7" w:rsidRPr="005448A7" w:rsidRDefault="005448A7" w:rsidP="005448A7">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 xml:space="preserve">C/ MATEO INURRIA </w:t>
          </w:r>
          <w:proofErr w:type="spellStart"/>
          <w:r w:rsidRPr="005448A7">
            <w:rPr>
              <w:rFonts w:ascii="Gill Sans MT" w:eastAsia="Times New Roman" w:hAnsi="Gill Sans MT" w:cs="Arial"/>
              <w:sz w:val="14"/>
              <w:szCs w:val="20"/>
              <w:lang w:val="es-ES_tradnl" w:eastAsia="es-ES"/>
            </w:rPr>
            <w:t>Nº</w:t>
          </w:r>
          <w:proofErr w:type="spellEnd"/>
          <w:r w:rsidRPr="005448A7">
            <w:rPr>
              <w:rFonts w:ascii="Gill Sans MT" w:eastAsia="Times New Roman" w:hAnsi="Gill Sans MT" w:cs="Arial"/>
              <w:sz w:val="14"/>
              <w:szCs w:val="20"/>
              <w:lang w:val="es-ES_tradnl" w:eastAsia="es-ES"/>
            </w:rPr>
            <w:t xml:space="preserve"> 15</w:t>
          </w:r>
        </w:p>
        <w:p w14:paraId="589C1E6A" w14:textId="77777777" w:rsidR="005448A7" w:rsidRPr="005448A7" w:rsidRDefault="005448A7" w:rsidP="005448A7">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28036-MADRID</w:t>
          </w:r>
        </w:p>
        <w:p w14:paraId="7847BCDE" w14:textId="77777777" w:rsidR="005448A7" w:rsidRPr="005448A7" w:rsidRDefault="005448A7" w:rsidP="005448A7">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TEL: 91 536.70.72</w:t>
          </w:r>
        </w:p>
      </w:tc>
    </w:tr>
    <w:tr w:rsidR="005448A7" w:rsidRPr="005448A7" w14:paraId="50138C2B" w14:textId="77777777" w:rsidTr="00CF2714">
      <w:trPr>
        <w:trHeight w:val="98"/>
      </w:trPr>
      <w:tc>
        <w:tcPr>
          <w:tcW w:w="3177" w:type="dxa"/>
          <w:gridSpan w:val="2"/>
          <w:tcBorders>
            <w:top w:val="nil"/>
            <w:right w:val="nil"/>
          </w:tcBorders>
          <w:vAlign w:val="bottom"/>
        </w:tcPr>
        <w:p w14:paraId="03B4270D" w14:textId="00E9727B" w:rsidR="005448A7" w:rsidRPr="005448A7" w:rsidRDefault="005448A7" w:rsidP="005448A7">
          <w:pPr>
            <w:tabs>
              <w:tab w:val="left" w:pos="1021"/>
              <w:tab w:val="left" w:pos="8080"/>
            </w:tabs>
            <w:spacing w:after="0" w:line="240" w:lineRule="auto"/>
            <w:ind w:right="-852"/>
            <w:rPr>
              <w:rFonts w:ascii="Gill Sans MT" w:eastAsia="Times New Roman" w:hAnsi="Gill Sans MT" w:cs="Arial"/>
              <w:sz w:val="14"/>
              <w:szCs w:val="20"/>
              <w:lang w:val="es-ES_tradnl" w:eastAsia="es-ES"/>
            </w:rPr>
          </w:pPr>
        </w:p>
      </w:tc>
      <w:tc>
        <w:tcPr>
          <w:tcW w:w="5465" w:type="dxa"/>
          <w:tcBorders>
            <w:top w:val="nil"/>
            <w:left w:val="nil"/>
            <w:right w:val="single" w:sz="6" w:space="0" w:color="auto"/>
          </w:tcBorders>
          <w:vAlign w:val="bottom"/>
        </w:tcPr>
        <w:p w14:paraId="314AD732" w14:textId="5C947911" w:rsidR="005448A7" w:rsidRPr="005448A7" w:rsidRDefault="00EF33A7" w:rsidP="00EF33A7">
          <w:pPr>
            <w:tabs>
              <w:tab w:val="left" w:pos="1057"/>
              <w:tab w:val="left" w:pos="1564"/>
              <w:tab w:val="left" w:pos="8080"/>
            </w:tabs>
            <w:spacing w:after="0" w:line="240" w:lineRule="auto"/>
            <w:ind w:right="71"/>
            <w:rPr>
              <w:rFonts w:ascii="Arial" w:eastAsia="Times New Roman" w:hAnsi="Arial" w:cs="Arial"/>
              <w:sz w:val="18"/>
              <w:szCs w:val="18"/>
              <w:lang w:val="es-ES_tradnl" w:eastAsia="es-ES"/>
            </w:rPr>
          </w:pPr>
          <w:r>
            <w:rPr>
              <w:rFonts w:ascii="Arial" w:hAnsi="Arial" w:cs="Arial"/>
              <w:sz w:val="18"/>
              <w:szCs w:val="18"/>
              <w:lang w:val="es-ES_tradnl"/>
            </w:rPr>
            <w:tab/>
          </w:r>
          <w:r w:rsidRPr="005448A7">
            <w:rPr>
              <w:rFonts w:ascii="Arial" w:hAnsi="Arial" w:cs="Arial"/>
              <w:sz w:val="18"/>
              <w:szCs w:val="18"/>
              <w:lang w:val="es-ES_tradnl"/>
            </w:rPr>
            <w:t xml:space="preserve">Pág. </w:t>
          </w:r>
          <w:r w:rsidRPr="005448A7">
            <w:rPr>
              <w:rFonts w:ascii="Arial" w:hAnsi="Arial" w:cs="Arial"/>
              <w:sz w:val="18"/>
              <w:szCs w:val="18"/>
              <w:lang w:val="es-ES_tradnl"/>
            </w:rPr>
            <w:fldChar w:fldCharType="begin"/>
          </w:r>
          <w:r w:rsidRPr="005448A7">
            <w:rPr>
              <w:rFonts w:ascii="Arial" w:hAnsi="Arial" w:cs="Arial"/>
              <w:sz w:val="18"/>
              <w:szCs w:val="18"/>
              <w:lang w:val="es-ES_tradnl"/>
            </w:rPr>
            <w:instrText>PAGE   \* MERGEFORMAT</w:instrText>
          </w:r>
          <w:r w:rsidRPr="005448A7">
            <w:rPr>
              <w:rFonts w:ascii="Arial" w:hAnsi="Arial" w:cs="Arial"/>
              <w:sz w:val="18"/>
              <w:szCs w:val="18"/>
              <w:lang w:val="es-ES_tradnl"/>
            </w:rPr>
            <w:fldChar w:fldCharType="separate"/>
          </w:r>
          <w:r>
            <w:rPr>
              <w:rFonts w:ascii="Arial" w:hAnsi="Arial" w:cs="Arial"/>
              <w:sz w:val="18"/>
              <w:szCs w:val="18"/>
              <w:lang w:val="es-ES_tradnl"/>
            </w:rPr>
            <w:t>2</w:t>
          </w:r>
          <w:r w:rsidRPr="005448A7">
            <w:rPr>
              <w:rFonts w:ascii="Arial" w:hAnsi="Arial" w:cs="Arial"/>
              <w:sz w:val="18"/>
              <w:szCs w:val="18"/>
              <w:lang w:val="es-ES_tradnl"/>
            </w:rPr>
            <w:fldChar w:fldCharType="end"/>
          </w:r>
        </w:p>
      </w:tc>
      <w:tc>
        <w:tcPr>
          <w:tcW w:w="2126" w:type="dxa"/>
          <w:vMerge/>
          <w:tcBorders>
            <w:left w:val="single" w:sz="6" w:space="0" w:color="auto"/>
          </w:tcBorders>
        </w:tcPr>
        <w:p w14:paraId="1F2E58DB" w14:textId="77777777" w:rsidR="005448A7" w:rsidRPr="005448A7" w:rsidRDefault="005448A7" w:rsidP="005448A7">
          <w:pPr>
            <w:tabs>
              <w:tab w:val="left" w:pos="8080"/>
            </w:tabs>
            <w:spacing w:after="0" w:line="240" w:lineRule="auto"/>
            <w:rPr>
              <w:rFonts w:ascii="Gill Sans MT" w:eastAsia="Times New Roman" w:hAnsi="Gill Sans MT" w:cs="Arial"/>
              <w:sz w:val="14"/>
              <w:szCs w:val="20"/>
              <w:lang w:val="es-ES_tradnl" w:eastAsia="es-ES"/>
            </w:rPr>
          </w:pPr>
        </w:p>
      </w:tc>
    </w:tr>
  </w:tbl>
  <w:p w14:paraId="0A85BF1A" w14:textId="77777777" w:rsidR="005448A7" w:rsidRPr="005448A7" w:rsidRDefault="005448A7">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11E1D" w14:textId="77777777" w:rsidR="004D43C5" w:rsidRDefault="004D43C5" w:rsidP="00DF5152">
      <w:pPr>
        <w:spacing w:after="0" w:line="240" w:lineRule="auto"/>
      </w:pPr>
      <w:r>
        <w:separator/>
      </w:r>
    </w:p>
  </w:footnote>
  <w:footnote w:type="continuationSeparator" w:id="0">
    <w:p w14:paraId="67084CD2" w14:textId="77777777" w:rsidR="004D43C5" w:rsidRDefault="004D43C5" w:rsidP="00DF5152">
      <w:pPr>
        <w:spacing w:after="0" w:line="240" w:lineRule="auto"/>
      </w:pPr>
      <w:r>
        <w:continuationSeparator/>
      </w:r>
    </w:p>
  </w:footnote>
  <w:footnote w:id="1">
    <w:p w14:paraId="1FC05160" w14:textId="58714AB1" w:rsidR="00DF5152" w:rsidRDefault="00DF5152" w:rsidP="00DF5152">
      <w:pPr>
        <w:pStyle w:val="Textonotapie"/>
      </w:pPr>
      <w:r>
        <w:rPr>
          <w:rStyle w:val="Refdenotaalpie"/>
        </w:rPr>
        <w:footnoteRef/>
      </w:r>
      <w:r>
        <w:t xml:space="preserve"> Auditor colaborador – Auditor privado (a efectos y en los términos de esta Norma) o auditor público de otra administración pública que colabora, mediante contrato o convenio respectivamente, con el </w:t>
      </w:r>
      <w:r w:rsidR="005F0DFF">
        <w:rPr>
          <w:rFonts w:ascii="Calibri" w:hAnsi="Calibri" w:cs="Calibri"/>
        </w:rPr>
        <w:t>órgano interventor de la</w:t>
      </w:r>
      <w:r w:rsidR="00AA32C1">
        <w:rPr>
          <w:rFonts w:ascii="Calibri" w:hAnsi="Calibri" w:cs="Calibri"/>
        </w:rPr>
        <w:t xml:space="preserve"> entidad local</w:t>
      </w:r>
      <w:r>
        <w:t xml:space="preserve"> competente por la legislación para hacer la auditoría pública. (Norma Técnica de relación con auditores, aprobada por Resolución de la IGAE de 30 de diciembre de 2020</w:t>
      </w:r>
      <w:r w:rsidR="00CF56C0">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575" w:type="dxa"/>
      <w:tblLayout w:type="fixed"/>
      <w:tblCellMar>
        <w:left w:w="70" w:type="dxa"/>
        <w:right w:w="70" w:type="dxa"/>
      </w:tblCellMar>
      <w:tblLook w:val="0000" w:firstRow="0" w:lastRow="0" w:firstColumn="0" w:lastColumn="0" w:noHBand="0" w:noVBand="0"/>
    </w:tblPr>
    <w:tblGrid>
      <w:gridCol w:w="1276"/>
    </w:tblGrid>
    <w:tr w:rsidR="005448A7" w14:paraId="3836EE3C" w14:textId="77777777" w:rsidTr="00CF2714">
      <w:trPr>
        <w:cantSplit/>
      </w:trPr>
      <w:tc>
        <w:tcPr>
          <w:tcW w:w="1276" w:type="dxa"/>
        </w:tcPr>
        <w:p w14:paraId="0BCFA699" w14:textId="77777777" w:rsidR="005448A7" w:rsidRDefault="005448A7" w:rsidP="005448A7">
          <w:pPr>
            <w:pStyle w:val="Encabezado"/>
            <w:spacing w:before="160"/>
            <w:ind w:left="-68"/>
          </w:pPr>
          <w:r>
            <w:rPr>
              <w:noProof/>
            </w:rPr>
            <w:drawing>
              <wp:inline distT="0" distB="0" distL="0" distR="0" wp14:anchorId="2E5E458C" wp14:editId="73D42F9E">
                <wp:extent cx="586740" cy="552450"/>
                <wp:effectExtent l="0" t="0" r="0" b="0"/>
                <wp:docPr id="2104196929" name="Imagen 2104196929"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bujo en blanco y negr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 cy="552450"/>
                        </a:xfrm>
                        <a:prstGeom prst="rect">
                          <a:avLst/>
                        </a:prstGeom>
                        <a:noFill/>
                        <a:ln>
                          <a:noFill/>
                        </a:ln>
                      </pic:spPr>
                    </pic:pic>
                  </a:graphicData>
                </a:graphic>
              </wp:inline>
            </w:drawing>
          </w:r>
        </w:p>
      </w:tc>
    </w:tr>
  </w:tbl>
  <w:p w14:paraId="369ACFCE" w14:textId="77777777" w:rsidR="005448A7" w:rsidRDefault="005448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42" w:type="dxa"/>
      <w:jc w:val="center"/>
      <w:tblLayout w:type="fixed"/>
      <w:tblCellMar>
        <w:left w:w="70" w:type="dxa"/>
        <w:right w:w="70" w:type="dxa"/>
      </w:tblCellMar>
      <w:tblLook w:val="0000" w:firstRow="0" w:lastRow="0" w:firstColumn="0" w:lastColumn="0" w:noHBand="0" w:noVBand="0"/>
    </w:tblPr>
    <w:tblGrid>
      <w:gridCol w:w="1510"/>
      <w:gridCol w:w="6176"/>
      <w:gridCol w:w="3156"/>
    </w:tblGrid>
    <w:tr w:rsidR="005448A7" w:rsidRPr="005448A7" w14:paraId="7C0C27FD" w14:textId="77777777" w:rsidTr="006A7509">
      <w:trPr>
        <w:cantSplit/>
        <w:trHeight w:val="490"/>
        <w:jc w:val="center"/>
      </w:trPr>
      <w:tc>
        <w:tcPr>
          <w:tcW w:w="1510" w:type="dxa"/>
          <w:vMerge w:val="restart"/>
        </w:tcPr>
        <w:p w14:paraId="6B906087" w14:textId="302FD85B" w:rsidR="005448A7" w:rsidRPr="005448A7" w:rsidRDefault="005448A7" w:rsidP="005448A7">
          <w:pPr>
            <w:tabs>
              <w:tab w:val="right" w:pos="8504"/>
            </w:tabs>
            <w:spacing w:before="780" w:after="60" w:line="240" w:lineRule="auto"/>
            <w:ind w:right="-68"/>
            <w:jc w:val="center"/>
            <w:rPr>
              <w:rFonts w:ascii="Garrison Light Sans" w:eastAsia="Times New Roman" w:hAnsi="Garrison Light Sans" w:cs="Times New Roman"/>
              <w:b/>
              <w:sz w:val="24"/>
              <w:szCs w:val="20"/>
              <w:lang w:val="es-ES_tradnl" w:eastAsia="es-ES"/>
            </w:rPr>
          </w:pPr>
          <w:r w:rsidRPr="005448A7">
            <w:rPr>
              <w:rFonts w:ascii="Arial" w:eastAsia="Times New Roman" w:hAnsi="Arial" w:cs="Times New Roman"/>
              <w:noProof/>
              <w:sz w:val="24"/>
              <w:szCs w:val="20"/>
              <w:lang w:eastAsia="es-ES"/>
            </w:rPr>
            <w:drawing>
              <wp:inline distT="0" distB="0" distL="0" distR="0" wp14:anchorId="0962DD97" wp14:editId="709B2E9E">
                <wp:extent cx="846455" cy="798195"/>
                <wp:effectExtent l="0" t="0" r="0" b="0"/>
                <wp:docPr id="980658673" name="Imagen 980658673"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bujo en blanco y negr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6176" w:type="dxa"/>
        </w:tcPr>
        <w:p w14:paraId="1CD41B66" w14:textId="77777777" w:rsidR="005448A7" w:rsidRPr="005448A7" w:rsidRDefault="005448A7" w:rsidP="005448A7">
          <w:pPr>
            <w:tabs>
              <w:tab w:val="left" w:pos="5387"/>
              <w:tab w:val="right" w:pos="8504"/>
            </w:tabs>
            <w:spacing w:after="0" w:line="240" w:lineRule="auto"/>
            <w:ind w:left="-70"/>
            <w:rPr>
              <w:rFonts w:ascii="Garrison Light Sans" w:eastAsia="Times New Roman" w:hAnsi="Garrison Light Sans" w:cs="Times New Roman"/>
              <w:b/>
              <w:sz w:val="14"/>
              <w:szCs w:val="20"/>
              <w:lang w:val="es-ES_tradnl" w:eastAsia="es-ES"/>
            </w:rPr>
          </w:pPr>
        </w:p>
      </w:tc>
      <w:tc>
        <w:tcPr>
          <w:tcW w:w="3156" w:type="dxa"/>
        </w:tcPr>
        <w:p w14:paraId="102BD161" w14:textId="77777777" w:rsidR="005448A7" w:rsidRPr="005448A7" w:rsidRDefault="005448A7" w:rsidP="005448A7">
          <w:pPr>
            <w:spacing w:before="600" w:after="0" w:line="160" w:lineRule="exact"/>
            <w:ind w:left="108"/>
            <w:rPr>
              <w:rFonts w:ascii="Gill Sans MT" w:eastAsia="Times New Roman" w:hAnsi="Gill Sans MT" w:cs="Times New Roman"/>
              <w:sz w:val="14"/>
              <w:szCs w:val="14"/>
              <w:lang w:eastAsia="es-ES"/>
            </w:rPr>
          </w:pPr>
        </w:p>
      </w:tc>
    </w:tr>
    <w:tr w:rsidR="005448A7" w:rsidRPr="005448A7" w14:paraId="51F6F005" w14:textId="77777777" w:rsidTr="006A7509">
      <w:trPr>
        <w:cantSplit/>
        <w:trHeight w:val="1017"/>
        <w:jc w:val="center"/>
      </w:trPr>
      <w:tc>
        <w:tcPr>
          <w:tcW w:w="1510" w:type="dxa"/>
          <w:vMerge/>
        </w:tcPr>
        <w:p w14:paraId="79670620" w14:textId="77777777" w:rsidR="005448A7" w:rsidRPr="005448A7" w:rsidRDefault="005448A7" w:rsidP="005448A7">
          <w:pPr>
            <w:tabs>
              <w:tab w:val="right" w:pos="8504"/>
            </w:tabs>
            <w:spacing w:before="120" w:after="60" w:line="240" w:lineRule="auto"/>
            <w:ind w:right="-70"/>
            <w:rPr>
              <w:rFonts w:ascii="Garrison Light Sans" w:eastAsia="Times New Roman" w:hAnsi="Garrison Light Sans" w:cs="Times New Roman"/>
              <w:b/>
              <w:sz w:val="24"/>
              <w:szCs w:val="20"/>
              <w:lang w:val="es-ES_tradnl" w:eastAsia="es-ES"/>
            </w:rPr>
          </w:pPr>
        </w:p>
      </w:tc>
      <w:tc>
        <w:tcPr>
          <w:tcW w:w="6176" w:type="dxa"/>
        </w:tcPr>
        <w:p w14:paraId="0062E527" w14:textId="77777777" w:rsidR="005448A7" w:rsidRPr="005448A7" w:rsidRDefault="005448A7" w:rsidP="005448A7">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VICEPRESIDENCIA</w:t>
          </w:r>
        </w:p>
        <w:p w14:paraId="6CFDAF74" w14:textId="77777777" w:rsidR="005448A7" w:rsidRPr="005448A7" w:rsidRDefault="005448A7" w:rsidP="005448A7">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PRIMERA DEL GOBIERNO</w:t>
          </w:r>
        </w:p>
        <w:p w14:paraId="5B40EE60" w14:textId="77777777" w:rsidR="005448A7" w:rsidRPr="005448A7" w:rsidRDefault="005448A7" w:rsidP="005448A7">
          <w:pPr>
            <w:tabs>
              <w:tab w:val="center" w:pos="4252"/>
              <w:tab w:val="right" w:pos="8504"/>
            </w:tabs>
            <w:spacing w:before="240"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MINISTERIO</w:t>
          </w:r>
        </w:p>
        <w:p w14:paraId="6505BD0D" w14:textId="77777777" w:rsidR="005448A7" w:rsidRPr="005448A7" w:rsidRDefault="005448A7" w:rsidP="005448A7">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DE HACIENDA</w:t>
          </w:r>
        </w:p>
        <w:p w14:paraId="2832964F" w14:textId="77777777" w:rsidR="005448A7" w:rsidRPr="005448A7" w:rsidRDefault="005448A7" w:rsidP="005448A7">
          <w:pPr>
            <w:tabs>
              <w:tab w:val="left" w:pos="5387"/>
              <w:tab w:val="right" w:pos="8504"/>
            </w:tabs>
            <w:spacing w:after="0" w:line="240" w:lineRule="auto"/>
            <w:ind w:right="-1"/>
            <w:rPr>
              <w:rFonts w:ascii="Garrison Light Sans" w:eastAsia="Times New Roman" w:hAnsi="Garrison Light Sans" w:cs="Times New Roman"/>
              <w:b/>
              <w:sz w:val="4"/>
              <w:szCs w:val="20"/>
              <w:lang w:val="es-ES_tradnl" w:eastAsia="es-ES"/>
            </w:rPr>
          </w:pPr>
        </w:p>
      </w:tc>
      <w:tc>
        <w:tcPr>
          <w:tcW w:w="3156" w:type="dxa"/>
        </w:tcPr>
        <w:p w14:paraId="37BD0E78" w14:textId="77777777" w:rsidR="005448A7" w:rsidRPr="005448A7" w:rsidRDefault="005448A7" w:rsidP="005448A7">
          <w:pPr>
            <w:tabs>
              <w:tab w:val="left" w:pos="2268"/>
            </w:tabs>
            <w:spacing w:before="240" w:after="0" w:line="160" w:lineRule="exact"/>
            <w:ind w:left="108"/>
            <w:rPr>
              <w:rFonts w:ascii="Gill Sans MT" w:eastAsia="Times New Roman" w:hAnsi="Gill Sans MT" w:cs="Times New Roman"/>
              <w:sz w:val="14"/>
              <w:szCs w:val="20"/>
              <w:lang w:eastAsia="es-ES"/>
            </w:rPr>
          </w:pPr>
          <w:r w:rsidRPr="005448A7">
            <w:rPr>
              <w:rFonts w:ascii="Gill Sans MT" w:eastAsia="Times New Roman" w:hAnsi="Gill Sans MT" w:cs="Times New Roman"/>
              <w:sz w:val="14"/>
              <w:szCs w:val="14"/>
              <w:lang w:eastAsia="es-ES"/>
            </w:rPr>
            <w:t>INTERVENCIÓN GENERAL DE LA ADMINISTRACIÓN DEL ESTADO</w:t>
          </w:r>
        </w:p>
        <w:p w14:paraId="6AE0ED27" w14:textId="0C585764" w:rsidR="005448A7" w:rsidRPr="005448A7" w:rsidRDefault="005448A7" w:rsidP="005448A7">
          <w:pPr>
            <w:tabs>
              <w:tab w:val="left" w:pos="2268"/>
            </w:tabs>
            <w:spacing w:before="120" w:after="0" w:line="160" w:lineRule="exact"/>
            <w:ind w:left="108"/>
            <w:rPr>
              <w:rFonts w:ascii="Gill Sans MT" w:eastAsia="Times New Roman" w:hAnsi="Gill Sans MT" w:cs="Times New Roman"/>
              <w:spacing w:val="-4"/>
              <w:sz w:val="10"/>
              <w:szCs w:val="10"/>
              <w:lang w:eastAsia="es-ES"/>
            </w:rPr>
          </w:pPr>
          <w:r w:rsidRPr="005448A7">
            <w:rPr>
              <w:rFonts w:ascii="Gill Sans MT" w:eastAsia="Times New Roman" w:hAnsi="Gill Sans MT" w:cs="Times New Roman"/>
              <w:sz w:val="14"/>
              <w:szCs w:val="20"/>
              <w:lang w:eastAsia="es-ES"/>
            </w:rPr>
            <w:br/>
            <w:t>OFICINA NACIONAL DE AUDITORÍA</w:t>
          </w:r>
        </w:p>
      </w:tc>
    </w:tr>
  </w:tbl>
  <w:p w14:paraId="453A16CB" w14:textId="68CD89E4" w:rsidR="005448A7" w:rsidRPr="005448A7" w:rsidRDefault="005448A7">
    <w:pPr>
      <w:pStyle w:val="Encabezado"/>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E3D4A"/>
    <w:multiLevelType w:val="multilevel"/>
    <w:tmpl w:val="087A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E6EB7"/>
    <w:multiLevelType w:val="hybridMultilevel"/>
    <w:tmpl w:val="86003CD4"/>
    <w:lvl w:ilvl="0" w:tplc="E51E70C8">
      <w:start w:val="1"/>
      <w:numFmt w:val="bullet"/>
      <w:lvlText w:val=""/>
      <w:lvlJc w:val="left"/>
      <w:pPr>
        <w:ind w:left="720" w:hanging="360"/>
      </w:pPr>
      <w:rPr>
        <w:rFonts w:ascii="Symbol" w:hAnsi="Symbol"/>
      </w:rPr>
    </w:lvl>
    <w:lvl w:ilvl="1" w:tplc="4204F3B4">
      <w:start w:val="1"/>
      <w:numFmt w:val="bullet"/>
      <w:lvlText w:val=""/>
      <w:lvlJc w:val="left"/>
      <w:pPr>
        <w:ind w:left="720" w:hanging="360"/>
      </w:pPr>
      <w:rPr>
        <w:rFonts w:ascii="Symbol" w:hAnsi="Symbol"/>
      </w:rPr>
    </w:lvl>
    <w:lvl w:ilvl="2" w:tplc="CE4277C4">
      <w:start w:val="1"/>
      <w:numFmt w:val="bullet"/>
      <w:lvlText w:val=""/>
      <w:lvlJc w:val="left"/>
      <w:pPr>
        <w:ind w:left="720" w:hanging="360"/>
      </w:pPr>
      <w:rPr>
        <w:rFonts w:ascii="Symbol" w:hAnsi="Symbol"/>
      </w:rPr>
    </w:lvl>
    <w:lvl w:ilvl="3" w:tplc="08423CF4">
      <w:start w:val="1"/>
      <w:numFmt w:val="bullet"/>
      <w:lvlText w:val=""/>
      <w:lvlJc w:val="left"/>
      <w:pPr>
        <w:ind w:left="720" w:hanging="360"/>
      </w:pPr>
      <w:rPr>
        <w:rFonts w:ascii="Symbol" w:hAnsi="Symbol"/>
      </w:rPr>
    </w:lvl>
    <w:lvl w:ilvl="4" w:tplc="D2CA2ADA">
      <w:start w:val="1"/>
      <w:numFmt w:val="bullet"/>
      <w:lvlText w:val=""/>
      <w:lvlJc w:val="left"/>
      <w:pPr>
        <w:ind w:left="720" w:hanging="360"/>
      </w:pPr>
      <w:rPr>
        <w:rFonts w:ascii="Symbol" w:hAnsi="Symbol"/>
      </w:rPr>
    </w:lvl>
    <w:lvl w:ilvl="5" w:tplc="497EE6DA">
      <w:start w:val="1"/>
      <w:numFmt w:val="bullet"/>
      <w:lvlText w:val=""/>
      <w:lvlJc w:val="left"/>
      <w:pPr>
        <w:ind w:left="720" w:hanging="360"/>
      </w:pPr>
      <w:rPr>
        <w:rFonts w:ascii="Symbol" w:hAnsi="Symbol"/>
      </w:rPr>
    </w:lvl>
    <w:lvl w:ilvl="6" w:tplc="CA04747A">
      <w:start w:val="1"/>
      <w:numFmt w:val="bullet"/>
      <w:lvlText w:val=""/>
      <w:lvlJc w:val="left"/>
      <w:pPr>
        <w:ind w:left="720" w:hanging="360"/>
      </w:pPr>
      <w:rPr>
        <w:rFonts w:ascii="Symbol" w:hAnsi="Symbol"/>
      </w:rPr>
    </w:lvl>
    <w:lvl w:ilvl="7" w:tplc="0062EF28">
      <w:start w:val="1"/>
      <w:numFmt w:val="bullet"/>
      <w:lvlText w:val=""/>
      <w:lvlJc w:val="left"/>
      <w:pPr>
        <w:ind w:left="720" w:hanging="360"/>
      </w:pPr>
      <w:rPr>
        <w:rFonts w:ascii="Symbol" w:hAnsi="Symbol"/>
      </w:rPr>
    </w:lvl>
    <w:lvl w:ilvl="8" w:tplc="52C6E31E">
      <w:start w:val="1"/>
      <w:numFmt w:val="bullet"/>
      <w:lvlText w:val=""/>
      <w:lvlJc w:val="left"/>
      <w:pPr>
        <w:ind w:left="720" w:hanging="360"/>
      </w:pPr>
      <w:rPr>
        <w:rFonts w:ascii="Symbol" w:hAnsi="Symbol"/>
      </w:rPr>
    </w:lvl>
  </w:abstractNum>
  <w:abstractNum w:abstractNumId="2" w15:restartNumberingAfterBreak="0">
    <w:nsid w:val="116C189B"/>
    <w:multiLevelType w:val="hybridMultilevel"/>
    <w:tmpl w:val="31D079B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 w15:restartNumberingAfterBreak="0">
    <w:nsid w:val="34E86280"/>
    <w:multiLevelType w:val="multilevel"/>
    <w:tmpl w:val="49A0F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251F89"/>
    <w:multiLevelType w:val="hybridMultilevel"/>
    <w:tmpl w:val="E1DAE5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58E64D4"/>
    <w:multiLevelType w:val="hybridMultilevel"/>
    <w:tmpl w:val="E9201DEE"/>
    <w:lvl w:ilvl="0" w:tplc="A4D4FBE6">
      <w:start w:val="1"/>
      <w:numFmt w:val="bullet"/>
      <w:lvlText w:val=""/>
      <w:lvlJc w:val="left"/>
      <w:pPr>
        <w:ind w:left="720" w:hanging="360"/>
      </w:pPr>
      <w:rPr>
        <w:rFonts w:ascii="Symbol" w:hAnsi="Symbol"/>
      </w:rPr>
    </w:lvl>
    <w:lvl w:ilvl="1" w:tplc="3DB82EFA">
      <w:start w:val="1"/>
      <w:numFmt w:val="bullet"/>
      <w:lvlText w:val=""/>
      <w:lvlJc w:val="left"/>
      <w:pPr>
        <w:ind w:left="720" w:hanging="360"/>
      </w:pPr>
      <w:rPr>
        <w:rFonts w:ascii="Symbol" w:hAnsi="Symbol"/>
      </w:rPr>
    </w:lvl>
    <w:lvl w:ilvl="2" w:tplc="9A7E3AC4">
      <w:start w:val="1"/>
      <w:numFmt w:val="bullet"/>
      <w:lvlText w:val=""/>
      <w:lvlJc w:val="left"/>
      <w:pPr>
        <w:ind w:left="720" w:hanging="360"/>
      </w:pPr>
      <w:rPr>
        <w:rFonts w:ascii="Symbol" w:hAnsi="Symbol"/>
      </w:rPr>
    </w:lvl>
    <w:lvl w:ilvl="3" w:tplc="EB105F66">
      <w:start w:val="1"/>
      <w:numFmt w:val="bullet"/>
      <w:lvlText w:val=""/>
      <w:lvlJc w:val="left"/>
      <w:pPr>
        <w:ind w:left="720" w:hanging="360"/>
      </w:pPr>
      <w:rPr>
        <w:rFonts w:ascii="Symbol" w:hAnsi="Symbol"/>
      </w:rPr>
    </w:lvl>
    <w:lvl w:ilvl="4" w:tplc="48BCB292">
      <w:start w:val="1"/>
      <w:numFmt w:val="bullet"/>
      <w:lvlText w:val=""/>
      <w:lvlJc w:val="left"/>
      <w:pPr>
        <w:ind w:left="720" w:hanging="360"/>
      </w:pPr>
      <w:rPr>
        <w:rFonts w:ascii="Symbol" w:hAnsi="Symbol"/>
      </w:rPr>
    </w:lvl>
    <w:lvl w:ilvl="5" w:tplc="FFD8AB5C">
      <w:start w:val="1"/>
      <w:numFmt w:val="bullet"/>
      <w:lvlText w:val=""/>
      <w:lvlJc w:val="left"/>
      <w:pPr>
        <w:ind w:left="720" w:hanging="360"/>
      </w:pPr>
      <w:rPr>
        <w:rFonts w:ascii="Symbol" w:hAnsi="Symbol"/>
      </w:rPr>
    </w:lvl>
    <w:lvl w:ilvl="6" w:tplc="51E64928">
      <w:start w:val="1"/>
      <w:numFmt w:val="bullet"/>
      <w:lvlText w:val=""/>
      <w:lvlJc w:val="left"/>
      <w:pPr>
        <w:ind w:left="720" w:hanging="360"/>
      </w:pPr>
      <w:rPr>
        <w:rFonts w:ascii="Symbol" w:hAnsi="Symbol"/>
      </w:rPr>
    </w:lvl>
    <w:lvl w:ilvl="7" w:tplc="D9F89F8A">
      <w:start w:val="1"/>
      <w:numFmt w:val="bullet"/>
      <w:lvlText w:val=""/>
      <w:lvlJc w:val="left"/>
      <w:pPr>
        <w:ind w:left="720" w:hanging="360"/>
      </w:pPr>
      <w:rPr>
        <w:rFonts w:ascii="Symbol" w:hAnsi="Symbol"/>
      </w:rPr>
    </w:lvl>
    <w:lvl w:ilvl="8" w:tplc="F9C49AC0">
      <w:start w:val="1"/>
      <w:numFmt w:val="bullet"/>
      <w:lvlText w:val=""/>
      <w:lvlJc w:val="left"/>
      <w:pPr>
        <w:ind w:left="720" w:hanging="360"/>
      </w:pPr>
      <w:rPr>
        <w:rFonts w:ascii="Symbol" w:hAnsi="Symbol"/>
      </w:rPr>
    </w:lvl>
  </w:abstractNum>
  <w:abstractNum w:abstractNumId="6" w15:restartNumberingAfterBreak="0">
    <w:nsid w:val="66C25C97"/>
    <w:multiLevelType w:val="hybridMultilevel"/>
    <w:tmpl w:val="A9AE2C44"/>
    <w:lvl w:ilvl="0" w:tplc="95148532">
      <w:start w:val="1"/>
      <w:numFmt w:val="bullet"/>
      <w:lvlText w:val=""/>
      <w:lvlJc w:val="left"/>
      <w:pPr>
        <w:ind w:left="720" w:hanging="360"/>
      </w:pPr>
      <w:rPr>
        <w:rFonts w:ascii="Symbol" w:hAnsi="Symbol"/>
      </w:rPr>
    </w:lvl>
    <w:lvl w:ilvl="1" w:tplc="2DE4DD10">
      <w:start w:val="1"/>
      <w:numFmt w:val="bullet"/>
      <w:lvlText w:val=""/>
      <w:lvlJc w:val="left"/>
      <w:pPr>
        <w:ind w:left="720" w:hanging="360"/>
      </w:pPr>
      <w:rPr>
        <w:rFonts w:ascii="Symbol" w:hAnsi="Symbol"/>
      </w:rPr>
    </w:lvl>
    <w:lvl w:ilvl="2" w:tplc="3CE47668">
      <w:start w:val="1"/>
      <w:numFmt w:val="bullet"/>
      <w:lvlText w:val=""/>
      <w:lvlJc w:val="left"/>
      <w:pPr>
        <w:ind w:left="720" w:hanging="360"/>
      </w:pPr>
      <w:rPr>
        <w:rFonts w:ascii="Symbol" w:hAnsi="Symbol"/>
      </w:rPr>
    </w:lvl>
    <w:lvl w:ilvl="3" w:tplc="E57C4BA2">
      <w:start w:val="1"/>
      <w:numFmt w:val="bullet"/>
      <w:lvlText w:val=""/>
      <w:lvlJc w:val="left"/>
      <w:pPr>
        <w:ind w:left="720" w:hanging="360"/>
      </w:pPr>
      <w:rPr>
        <w:rFonts w:ascii="Symbol" w:hAnsi="Symbol"/>
      </w:rPr>
    </w:lvl>
    <w:lvl w:ilvl="4" w:tplc="E88E5256">
      <w:start w:val="1"/>
      <w:numFmt w:val="bullet"/>
      <w:lvlText w:val=""/>
      <w:lvlJc w:val="left"/>
      <w:pPr>
        <w:ind w:left="720" w:hanging="360"/>
      </w:pPr>
      <w:rPr>
        <w:rFonts w:ascii="Symbol" w:hAnsi="Symbol"/>
      </w:rPr>
    </w:lvl>
    <w:lvl w:ilvl="5" w:tplc="1C3CA240">
      <w:start w:val="1"/>
      <w:numFmt w:val="bullet"/>
      <w:lvlText w:val=""/>
      <w:lvlJc w:val="left"/>
      <w:pPr>
        <w:ind w:left="720" w:hanging="360"/>
      </w:pPr>
      <w:rPr>
        <w:rFonts w:ascii="Symbol" w:hAnsi="Symbol"/>
      </w:rPr>
    </w:lvl>
    <w:lvl w:ilvl="6" w:tplc="EE1AF2D2">
      <w:start w:val="1"/>
      <w:numFmt w:val="bullet"/>
      <w:lvlText w:val=""/>
      <w:lvlJc w:val="left"/>
      <w:pPr>
        <w:ind w:left="720" w:hanging="360"/>
      </w:pPr>
      <w:rPr>
        <w:rFonts w:ascii="Symbol" w:hAnsi="Symbol"/>
      </w:rPr>
    </w:lvl>
    <w:lvl w:ilvl="7" w:tplc="E9C836A8">
      <w:start w:val="1"/>
      <w:numFmt w:val="bullet"/>
      <w:lvlText w:val=""/>
      <w:lvlJc w:val="left"/>
      <w:pPr>
        <w:ind w:left="720" w:hanging="360"/>
      </w:pPr>
      <w:rPr>
        <w:rFonts w:ascii="Symbol" w:hAnsi="Symbol"/>
      </w:rPr>
    </w:lvl>
    <w:lvl w:ilvl="8" w:tplc="4B7A0F34">
      <w:start w:val="1"/>
      <w:numFmt w:val="bullet"/>
      <w:lvlText w:val=""/>
      <w:lvlJc w:val="left"/>
      <w:pPr>
        <w:ind w:left="720" w:hanging="360"/>
      </w:pPr>
      <w:rPr>
        <w:rFonts w:ascii="Symbol" w:hAnsi="Symbol"/>
      </w:rPr>
    </w:lvl>
  </w:abstractNum>
  <w:abstractNum w:abstractNumId="7" w15:restartNumberingAfterBreak="0">
    <w:nsid w:val="6C5C5D37"/>
    <w:multiLevelType w:val="hybridMultilevel"/>
    <w:tmpl w:val="9D32EDA8"/>
    <w:lvl w:ilvl="0" w:tplc="E70A285C">
      <w:start w:val="1"/>
      <w:numFmt w:val="bullet"/>
      <w:lvlText w:val=""/>
      <w:lvlJc w:val="left"/>
      <w:pPr>
        <w:ind w:left="720" w:hanging="360"/>
      </w:pPr>
      <w:rPr>
        <w:rFonts w:ascii="Symbol" w:hAnsi="Symbol"/>
      </w:rPr>
    </w:lvl>
    <w:lvl w:ilvl="1" w:tplc="B11E6D4E">
      <w:start w:val="1"/>
      <w:numFmt w:val="bullet"/>
      <w:lvlText w:val=""/>
      <w:lvlJc w:val="left"/>
      <w:pPr>
        <w:ind w:left="720" w:hanging="360"/>
      </w:pPr>
      <w:rPr>
        <w:rFonts w:ascii="Symbol" w:hAnsi="Symbol"/>
      </w:rPr>
    </w:lvl>
    <w:lvl w:ilvl="2" w:tplc="A5C885C0">
      <w:start w:val="1"/>
      <w:numFmt w:val="bullet"/>
      <w:lvlText w:val=""/>
      <w:lvlJc w:val="left"/>
      <w:pPr>
        <w:ind w:left="720" w:hanging="360"/>
      </w:pPr>
      <w:rPr>
        <w:rFonts w:ascii="Symbol" w:hAnsi="Symbol"/>
      </w:rPr>
    </w:lvl>
    <w:lvl w:ilvl="3" w:tplc="B6FA2968">
      <w:start w:val="1"/>
      <w:numFmt w:val="bullet"/>
      <w:lvlText w:val=""/>
      <w:lvlJc w:val="left"/>
      <w:pPr>
        <w:ind w:left="720" w:hanging="360"/>
      </w:pPr>
      <w:rPr>
        <w:rFonts w:ascii="Symbol" w:hAnsi="Symbol"/>
      </w:rPr>
    </w:lvl>
    <w:lvl w:ilvl="4" w:tplc="DC60D738">
      <w:start w:val="1"/>
      <w:numFmt w:val="bullet"/>
      <w:lvlText w:val=""/>
      <w:lvlJc w:val="left"/>
      <w:pPr>
        <w:ind w:left="720" w:hanging="360"/>
      </w:pPr>
      <w:rPr>
        <w:rFonts w:ascii="Symbol" w:hAnsi="Symbol"/>
      </w:rPr>
    </w:lvl>
    <w:lvl w:ilvl="5" w:tplc="FA3C96B4">
      <w:start w:val="1"/>
      <w:numFmt w:val="bullet"/>
      <w:lvlText w:val=""/>
      <w:lvlJc w:val="left"/>
      <w:pPr>
        <w:ind w:left="720" w:hanging="360"/>
      </w:pPr>
      <w:rPr>
        <w:rFonts w:ascii="Symbol" w:hAnsi="Symbol"/>
      </w:rPr>
    </w:lvl>
    <w:lvl w:ilvl="6" w:tplc="1E063C78">
      <w:start w:val="1"/>
      <w:numFmt w:val="bullet"/>
      <w:lvlText w:val=""/>
      <w:lvlJc w:val="left"/>
      <w:pPr>
        <w:ind w:left="720" w:hanging="360"/>
      </w:pPr>
      <w:rPr>
        <w:rFonts w:ascii="Symbol" w:hAnsi="Symbol"/>
      </w:rPr>
    </w:lvl>
    <w:lvl w:ilvl="7" w:tplc="2938A94C">
      <w:start w:val="1"/>
      <w:numFmt w:val="bullet"/>
      <w:lvlText w:val=""/>
      <w:lvlJc w:val="left"/>
      <w:pPr>
        <w:ind w:left="720" w:hanging="360"/>
      </w:pPr>
      <w:rPr>
        <w:rFonts w:ascii="Symbol" w:hAnsi="Symbol"/>
      </w:rPr>
    </w:lvl>
    <w:lvl w:ilvl="8" w:tplc="6A386272">
      <w:start w:val="1"/>
      <w:numFmt w:val="bullet"/>
      <w:lvlText w:val=""/>
      <w:lvlJc w:val="left"/>
      <w:pPr>
        <w:ind w:left="720" w:hanging="360"/>
      </w:pPr>
      <w:rPr>
        <w:rFonts w:ascii="Symbol" w:hAnsi="Symbol"/>
      </w:rPr>
    </w:lvl>
  </w:abstractNum>
  <w:abstractNum w:abstractNumId="8" w15:restartNumberingAfterBreak="0">
    <w:nsid w:val="70897F1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A3B6952"/>
    <w:multiLevelType w:val="multilevel"/>
    <w:tmpl w:val="8074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6156427">
    <w:abstractNumId w:val="8"/>
  </w:num>
  <w:num w:numId="2" w16cid:durableId="964313330">
    <w:abstractNumId w:val="3"/>
  </w:num>
  <w:num w:numId="3" w16cid:durableId="592011823">
    <w:abstractNumId w:val="9"/>
  </w:num>
  <w:num w:numId="4" w16cid:durableId="1072704481">
    <w:abstractNumId w:val="2"/>
  </w:num>
  <w:num w:numId="5" w16cid:durableId="1501772154">
    <w:abstractNumId w:val="4"/>
  </w:num>
  <w:num w:numId="6" w16cid:durableId="174654208">
    <w:abstractNumId w:val="7"/>
  </w:num>
  <w:num w:numId="7" w16cid:durableId="1102801637">
    <w:abstractNumId w:val="6"/>
  </w:num>
  <w:num w:numId="8" w16cid:durableId="1451431465">
    <w:abstractNumId w:val="1"/>
  </w:num>
  <w:num w:numId="9" w16cid:durableId="780153299">
    <w:abstractNumId w:val="5"/>
  </w:num>
  <w:num w:numId="10" w16cid:durableId="1570504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152"/>
    <w:rsid w:val="00061752"/>
    <w:rsid w:val="00131DDD"/>
    <w:rsid w:val="001639F3"/>
    <w:rsid w:val="0017479E"/>
    <w:rsid w:val="001A73E0"/>
    <w:rsid w:val="00256542"/>
    <w:rsid w:val="00275F99"/>
    <w:rsid w:val="002C2B4C"/>
    <w:rsid w:val="00327BB2"/>
    <w:rsid w:val="00354D09"/>
    <w:rsid w:val="00360668"/>
    <w:rsid w:val="003F1430"/>
    <w:rsid w:val="00417111"/>
    <w:rsid w:val="004330D1"/>
    <w:rsid w:val="00465478"/>
    <w:rsid w:val="004D10BD"/>
    <w:rsid w:val="004D43C5"/>
    <w:rsid w:val="004E71AC"/>
    <w:rsid w:val="005326CA"/>
    <w:rsid w:val="005448A7"/>
    <w:rsid w:val="005464DC"/>
    <w:rsid w:val="00570413"/>
    <w:rsid w:val="005F0DFF"/>
    <w:rsid w:val="005F5097"/>
    <w:rsid w:val="00684327"/>
    <w:rsid w:val="006A30B5"/>
    <w:rsid w:val="006A7509"/>
    <w:rsid w:val="006F08FC"/>
    <w:rsid w:val="007618BA"/>
    <w:rsid w:val="007816DE"/>
    <w:rsid w:val="007A7589"/>
    <w:rsid w:val="007B1D23"/>
    <w:rsid w:val="00802877"/>
    <w:rsid w:val="00835D6D"/>
    <w:rsid w:val="008D3E5E"/>
    <w:rsid w:val="008E2DEE"/>
    <w:rsid w:val="00950887"/>
    <w:rsid w:val="009E2623"/>
    <w:rsid w:val="00A2117F"/>
    <w:rsid w:val="00A23E21"/>
    <w:rsid w:val="00A50C62"/>
    <w:rsid w:val="00AA05D2"/>
    <w:rsid w:val="00AA32C1"/>
    <w:rsid w:val="00AE7AFF"/>
    <w:rsid w:val="00B15DE1"/>
    <w:rsid w:val="00B23DC4"/>
    <w:rsid w:val="00B52FB4"/>
    <w:rsid w:val="00BD02DA"/>
    <w:rsid w:val="00BE7CA1"/>
    <w:rsid w:val="00C03484"/>
    <w:rsid w:val="00C303DE"/>
    <w:rsid w:val="00C64DEF"/>
    <w:rsid w:val="00CC3C09"/>
    <w:rsid w:val="00CE0ABA"/>
    <w:rsid w:val="00CF08DD"/>
    <w:rsid w:val="00CF0F8C"/>
    <w:rsid w:val="00CF56C0"/>
    <w:rsid w:val="00D43184"/>
    <w:rsid w:val="00DB65B7"/>
    <w:rsid w:val="00DD43EA"/>
    <w:rsid w:val="00DF5152"/>
    <w:rsid w:val="00E153F2"/>
    <w:rsid w:val="00E677B3"/>
    <w:rsid w:val="00E9404E"/>
    <w:rsid w:val="00EE084D"/>
    <w:rsid w:val="00EF33A7"/>
    <w:rsid w:val="00F17932"/>
    <w:rsid w:val="00F8333B"/>
    <w:rsid w:val="00F85960"/>
    <w:rsid w:val="00F9474F"/>
    <w:rsid w:val="00FF17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CAC1D"/>
  <w15:chartTrackingRefBased/>
  <w15:docId w15:val="{BC0FE0ED-61D2-4D85-979D-BAB8D078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1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F5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DF515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F5152"/>
    <w:rPr>
      <w:sz w:val="20"/>
      <w:szCs w:val="20"/>
    </w:rPr>
  </w:style>
  <w:style w:type="character" w:styleId="Refdenotaalpie">
    <w:name w:val="footnote reference"/>
    <w:basedOn w:val="Fuentedeprrafopredeter"/>
    <w:uiPriority w:val="99"/>
    <w:semiHidden/>
    <w:unhideWhenUsed/>
    <w:rsid w:val="00DF5152"/>
    <w:rPr>
      <w:vertAlign w:val="superscript"/>
    </w:rPr>
  </w:style>
  <w:style w:type="paragraph" w:styleId="Prrafodelista">
    <w:name w:val="List Paragraph"/>
    <w:basedOn w:val="Normal"/>
    <w:uiPriority w:val="34"/>
    <w:qFormat/>
    <w:rsid w:val="00DF5152"/>
    <w:pPr>
      <w:ind w:left="720"/>
      <w:contextualSpacing/>
    </w:pPr>
  </w:style>
  <w:style w:type="character" w:styleId="Hipervnculo">
    <w:name w:val="Hyperlink"/>
    <w:basedOn w:val="Fuentedeprrafopredeter"/>
    <w:uiPriority w:val="99"/>
    <w:unhideWhenUsed/>
    <w:rsid w:val="00DF5152"/>
    <w:rPr>
      <w:color w:val="0563C1" w:themeColor="hyperlink"/>
      <w:u w:val="single"/>
    </w:rPr>
  </w:style>
  <w:style w:type="paragraph" w:styleId="Textodeglobo">
    <w:name w:val="Balloon Text"/>
    <w:basedOn w:val="Normal"/>
    <w:link w:val="TextodegloboCar"/>
    <w:uiPriority w:val="99"/>
    <w:semiHidden/>
    <w:unhideWhenUsed/>
    <w:rsid w:val="006843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4327"/>
    <w:rPr>
      <w:rFonts w:ascii="Segoe UI" w:hAnsi="Segoe UI" w:cs="Segoe UI"/>
      <w:sz w:val="18"/>
      <w:szCs w:val="18"/>
    </w:rPr>
  </w:style>
  <w:style w:type="character" w:styleId="Refdecomentario">
    <w:name w:val="annotation reference"/>
    <w:basedOn w:val="Fuentedeprrafopredeter"/>
    <w:uiPriority w:val="99"/>
    <w:semiHidden/>
    <w:unhideWhenUsed/>
    <w:rsid w:val="00684327"/>
    <w:rPr>
      <w:sz w:val="16"/>
      <w:szCs w:val="16"/>
    </w:rPr>
  </w:style>
  <w:style w:type="paragraph" w:styleId="Textocomentario">
    <w:name w:val="annotation text"/>
    <w:basedOn w:val="Normal"/>
    <w:link w:val="TextocomentarioCar"/>
    <w:uiPriority w:val="99"/>
    <w:unhideWhenUsed/>
    <w:rsid w:val="00684327"/>
    <w:pPr>
      <w:spacing w:line="240" w:lineRule="auto"/>
    </w:pPr>
    <w:rPr>
      <w:sz w:val="20"/>
      <w:szCs w:val="20"/>
    </w:rPr>
  </w:style>
  <w:style w:type="character" w:customStyle="1" w:styleId="TextocomentarioCar">
    <w:name w:val="Texto comentario Car"/>
    <w:basedOn w:val="Fuentedeprrafopredeter"/>
    <w:link w:val="Textocomentario"/>
    <w:uiPriority w:val="99"/>
    <w:rsid w:val="00684327"/>
    <w:rPr>
      <w:sz w:val="20"/>
      <w:szCs w:val="20"/>
    </w:rPr>
  </w:style>
  <w:style w:type="paragraph" w:styleId="Asuntodelcomentario">
    <w:name w:val="annotation subject"/>
    <w:basedOn w:val="Textocomentario"/>
    <w:next w:val="Textocomentario"/>
    <w:link w:val="AsuntodelcomentarioCar"/>
    <w:uiPriority w:val="99"/>
    <w:semiHidden/>
    <w:unhideWhenUsed/>
    <w:rsid w:val="00684327"/>
    <w:rPr>
      <w:b/>
      <w:bCs/>
    </w:rPr>
  </w:style>
  <w:style w:type="character" w:customStyle="1" w:styleId="AsuntodelcomentarioCar">
    <w:name w:val="Asunto del comentario Car"/>
    <w:basedOn w:val="TextocomentarioCar"/>
    <w:link w:val="Asuntodelcomentario"/>
    <w:uiPriority w:val="99"/>
    <w:semiHidden/>
    <w:rsid w:val="00684327"/>
    <w:rPr>
      <w:b/>
      <w:bCs/>
      <w:sz w:val="20"/>
      <w:szCs w:val="20"/>
    </w:rPr>
  </w:style>
  <w:style w:type="paragraph" w:styleId="Sinespaciado">
    <w:name w:val="No Spacing"/>
    <w:uiPriority w:val="1"/>
    <w:qFormat/>
    <w:rsid w:val="007A7589"/>
    <w:pPr>
      <w:spacing w:after="0" w:line="240" w:lineRule="auto"/>
    </w:pPr>
  </w:style>
  <w:style w:type="paragraph" w:styleId="Revisin">
    <w:name w:val="Revision"/>
    <w:hidden/>
    <w:uiPriority w:val="99"/>
    <w:semiHidden/>
    <w:rsid w:val="007816DE"/>
    <w:pPr>
      <w:spacing w:after="0" w:line="240" w:lineRule="auto"/>
    </w:pPr>
  </w:style>
  <w:style w:type="paragraph" w:customStyle="1" w:styleId="pf1">
    <w:name w:val="pf1"/>
    <w:basedOn w:val="Normal"/>
    <w:rsid w:val="00CF56C0"/>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f0">
    <w:name w:val="pf0"/>
    <w:basedOn w:val="Normal"/>
    <w:rsid w:val="00CF56C0"/>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cf01">
    <w:name w:val="cf01"/>
    <w:basedOn w:val="Fuentedeprrafopredeter"/>
    <w:rsid w:val="00CF56C0"/>
    <w:rPr>
      <w:rFonts w:ascii="Segoe UI" w:hAnsi="Segoe UI" w:cs="Segoe UI" w:hint="default"/>
      <w:sz w:val="18"/>
      <w:szCs w:val="18"/>
    </w:rPr>
  </w:style>
  <w:style w:type="character" w:customStyle="1" w:styleId="cf11">
    <w:name w:val="cf11"/>
    <w:basedOn w:val="Fuentedeprrafopredeter"/>
    <w:rsid w:val="00CF56C0"/>
    <w:rPr>
      <w:rFonts w:ascii="Segoe UI" w:hAnsi="Segoe UI" w:cs="Segoe UI" w:hint="default"/>
      <w:color w:val="00B050"/>
      <w:sz w:val="18"/>
      <w:szCs w:val="18"/>
    </w:rPr>
  </w:style>
  <w:style w:type="paragraph" w:styleId="Encabezado">
    <w:name w:val="header"/>
    <w:basedOn w:val="Normal"/>
    <w:link w:val="EncabezadoCar"/>
    <w:unhideWhenUsed/>
    <w:rsid w:val="005448A7"/>
    <w:pPr>
      <w:tabs>
        <w:tab w:val="center" w:pos="4252"/>
        <w:tab w:val="right" w:pos="8504"/>
      </w:tabs>
      <w:spacing w:after="0" w:line="240" w:lineRule="auto"/>
    </w:pPr>
  </w:style>
  <w:style w:type="character" w:customStyle="1" w:styleId="EncabezadoCar">
    <w:name w:val="Encabezado Car"/>
    <w:basedOn w:val="Fuentedeprrafopredeter"/>
    <w:link w:val="Encabezado"/>
    <w:rsid w:val="005448A7"/>
  </w:style>
  <w:style w:type="paragraph" w:styleId="Piedepgina">
    <w:name w:val="footer"/>
    <w:basedOn w:val="Normal"/>
    <w:link w:val="PiedepginaCar"/>
    <w:uiPriority w:val="99"/>
    <w:unhideWhenUsed/>
    <w:rsid w:val="005448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48A7"/>
  </w:style>
  <w:style w:type="table" w:customStyle="1" w:styleId="Tablaconcuadrcula1">
    <w:name w:val="Tabla con cuadrícula1"/>
    <w:basedOn w:val="Tablanormal"/>
    <w:next w:val="Tablaconcuadrcula"/>
    <w:rsid w:val="005448A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89301">
      <w:bodyDiv w:val="1"/>
      <w:marLeft w:val="0"/>
      <w:marRight w:val="0"/>
      <w:marTop w:val="0"/>
      <w:marBottom w:val="0"/>
      <w:divBdr>
        <w:top w:val="none" w:sz="0" w:space="0" w:color="auto"/>
        <w:left w:val="none" w:sz="0" w:space="0" w:color="auto"/>
        <w:bottom w:val="none" w:sz="0" w:space="0" w:color="auto"/>
        <w:right w:val="none" w:sz="0" w:space="0" w:color="auto"/>
      </w:divBdr>
    </w:div>
    <w:div w:id="547448809">
      <w:bodyDiv w:val="1"/>
      <w:marLeft w:val="0"/>
      <w:marRight w:val="0"/>
      <w:marTop w:val="0"/>
      <w:marBottom w:val="0"/>
      <w:divBdr>
        <w:top w:val="none" w:sz="0" w:space="0" w:color="auto"/>
        <w:left w:val="none" w:sz="0" w:space="0" w:color="auto"/>
        <w:bottom w:val="none" w:sz="0" w:space="0" w:color="auto"/>
        <w:right w:val="none" w:sz="0" w:space="0" w:color="auto"/>
      </w:divBdr>
    </w:div>
    <w:div w:id="62451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tranets.central.sepg.minhac.age/sitios/igae/TCCONA/Documents/Instrucci%c3%b3nONAprotecci%c3%b3nindependenci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1E96F2320F0934D812DDC7C72415D7E" ma:contentTypeVersion="1" ma:contentTypeDescription="Crear nuevo documento." ma:contentTypeScope="" ma:versionID="586d07eea79779542327a5db0022756e">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D8AA2A-F47F-47D4-A086-ED1CBF79D716}">
  <ds:schemaRefs>
    <ds:schemaRef ds:uri="http://schemas.openxmlformats.org/officeDocument/2006/bibliography"/>
  </ds:schemaRefs>
</ds:datastoreItem>
</file>

<file path=customXml/itemProps2.xml><?xml version="1.0" encoding="utf-8"?>
<ds:datastoreItem xmlns:ds="http://schemas.openxmlformats.org/officeDocument/2006/customXml" ds:itemID="{D0D54645-2FD2-464A-86F3-F12B466F0F4D}"/>
</file>

<file path=customXml/itemProps3.xml><?xml version="1.0" encoding="utf-8"?>
<ds:datastoreItem xmlns:ds="http://schemas.openxmlformats.org/officeDocument/2006/customXml" ds:itemID="{FB928188-0C12-4E14-92CF-E8BFC61E0364}"/>
</file>

<file path=customXml/itemProps4.xml><?xml version="1.0" encoding="utf-8"?>
<ds:datastoreItem xmlns:ds="http://schemas.openxmlformats.org/officeDocument/2006/customXml" ds:itemID="{DBD42255-63B7-47D7-81B2-EC017BF8460B}"/>
</file>

<file path=docProps/app.xml><?xml version="1.0" encoding="utf-8"?>
<Properties xmlns="http://schemas.openxmlformats.org/officeDocument/2006/extended-properties" xmlns:vt="http://schemas.openxmlformats.org/officeDocument/2006/docPropsVTypes">
  <Template>Normal.dotm</Template>
  <TotalTime>129</TotalTime>
  <Pages>4</Pages>
  <Words>1174</Words>
  <Characters>6463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IGAE</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Mota Daniel, María Isabel</dc:creator>
  <cp:keywords/>
  <dc:description/>
  <cp:lastModifiedBy>Gómez Calvo, Maria Jose</cp:lastModifiedBy>
  <cp:revision>18</cp:revision>
  <dcterms:created xsi:type="dcterms:W3CDTF">2025-02-05T12:15:00Z</dcterms:created>
  <dcterms:modified xsi:type="dcterms:W3CDTF">2025-06-26T08:04:00Z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0x01010091E96F2320F0934D812DDC7C72415D7E</vt:lpwstr>
  </property>
</Properties>
</file>