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BD" w:rsidRPr="00912FD2" w:rsidRDefault="00C007A9" w:rsidP="00912FD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ANEXO:</w:t>
      </w:r>
      <w:r w:rsidR="00540845" w:rsidRPr="00912FD2">
        <w:rPr>
          <w:sz w:val="28"/>
          <w:szCs w:val="28"/>
        </w:rPr>
        <w:t xml:space="preserve"> </w:t>
      </w:r>
      <w:r w:rsidR="009662AF">
        <w:rPr>
          <w:sz w:val="28"/>
          <w:szCs w:val="28"/>
        </w:rPr>
        <w:t xml:space="preserve">MODELO DE </w:t>
      </w:r>
      <w:r w:rsidR="00540845" w:rsidRPr="00912FD2">
        <w:rPr>
          <w:sz w:val="28"/>
          <w:szCs w:val="28"/>
        </w:rPr>
        <w:t>CONTENIDO DE LA CARTA DE MANIFESTACIONES DE LA DIRECCIÓN</w:t>
      </w:r>
    </w:p>
    <w:p w:rsidR="006351BD" w:rsidRDefault="006351BD"/>
    <w:p w:rsidR="006351BD" w:rsidRDefault="006351BD"/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Membrete del Organismo</w:t>
      </w:r>
    </w:p>
    <w:p w:rsidR="00537E78" w:rsidRDefault="00537E78" w:rsidP="00537E78">
      <w:pPr>
        <w:jc w:val="right"/>
      </w:pPr>
      <w:r>
        <w:t>Responsable de</w:t>
      </w:r>
      <w:r w:rsidR="00B86319">
        <w:t xml:space="preserve"> la Auditoría</w:t>
      </w:r>
    </w:p>
    <w:p w:rsidR="00537E78" w:rsidRDefault="00537E78" w:rsidP="00537E78">
      <w:pPr>
        <w:jc w:val="both"/>
      </w:pPr>
    </w:p>
    <w:p w:rsidR="00537E78" w:rsidRDefault="00B86319" w:rsidP="00537E78">
      <w:pPr>
        <w:jc w:val="both"/>
      </w:pPr>
      <w:proofErr w:type="spellStart"/>
      <w:r>
        <w:t>Localidad</w:t>
      </w:r>
      <w:proofErr w:type="gramStart"/>
      <w:r w:rsidR="00537E78">
        <w:t>,</w:t>
      </w:r>
      <w:r>
        <w:t>a</w:t>
      </w:r>
      <w:proofErr w:type="spellEnd"/>
      <w:proofErr w:type="gramEnd"/>
      <w:r>
        <w:t xml:space="preserve"> </w:t>
      </w:r>
      <w:r w:rsidR="00F625E5">
        <w:t xml:space="preserve"> xx</w:t>
      </w:r>
      <w:r w:rsidR="00537E78">
        <w:t xml:space="preserve"> de</w:t>
      </w:r>
      <w:r w:rsidR="00EB5DF7">
        <w:t xml:space="preserve"> </w:t>
      </w:r>
      <w:r w:rsidR="00537E78">
        <w:t xml:space="preserve"> </w:t>
      </w:r>
      <w:proofErr w:type="spellStart"/>
      <w:r w:rsidR="00537E78">
        <w:t>de</w:t>
      </w:r>
      <w:proofErr w:type="spellEnd"/>
      <w:r w:rsidR="00F625E5">
        <w:t xml:space="preserve"> 20xx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Muy Señores nuestros: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En relación con la auditoría que están realizando de las cuentas anuales de (</w:t>
      </w:r>
      <w:r w:rsidRPr="00710DEA">
        <w:rPr>
          <w:i/>
        </w:rPr>
        <w:t>denominación de</w:t>
      </w:r>
      <w:r w:rsidR="00DB57A8">
        <w:rPr>
          <w:i/>
        </w:rPr>
        <w:t xml:space="preserve"> </w:t>
      </w:r>
      <w:r w:rsidRPr="00710DEA">
        <w:rPr>
          <w:i/>
        </w:rPr>
        <w:t>l</w:t>
      </w:r>
      <w:r w:rsidR="00DB57A8">
        <w:rPr>
          <w:i/>
        </w:rPr>
        <w:t>a</w:t>
      </w:r>
      <w:r w:rsidRPr="00710DEA">
        <w:rPr>
          <w:i/>
        </w:rPr>
        <w:t xml:space="preserve"> </w:t>
      </w:r>
      <w:r w:rsidR="00DB57A8">
        <w:rPr>
          <w:i/>
        </w:rPr>
        <w:t>entidad</w:t>
      </w:r>
      <w:r>
        <w:t xml:space="preserve">) </w:t>
      </w:r>
      <w:r w:rsidR="00DB57A8">
        <w:t>correspondientes al</w:t>
      </w:r>
      <w:r>
        <w:t xml:space="preserve"> ejercicio terminado </w:t>
      </w:r>
      <w:r w:rsidR="00777F3E">
        <w:t>el</w:t>
      </w:r>
      <w:r w:rsidR="00DB57A8">
        <w:t xml:space="preserve"> 31</w:t>
      </w:r>
      <w:r w:rsidR="00777F3E">
        <w:t>de</w:t>
      </w:r>
      <w:r w:rsidR="00DB57A8">
        <w:t xml:space="preserve"> diciembre </w:t>
      </w:r>
      <w:r>
        <w:t xml:space="preserve">de </w:t>
      </w:r>
      <w:r w:rsidR="00DB57A8">
        <w:t xml:space="preserve">20xx, </w:t>
      </w:r>
      <w:r>
        <w:t>por la presente les manifestamos lo siguiente: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1. Como miembros de la Dirección del Organismo (</w:t>
      </w:r>
      <w:r w:rsidR="00DB57A8" w:rsidRPr="00127CBC">
        <w:rPr>
          <w:i/>
        </w:rPr>
        <w:t>se</w:t>
      </w:r>
      <w:r w:rsidR="00DB57A8">
        <w:t xml:space="preserve"> </w:t>
      </w:r>
      <w:r w:rsidRPr="00710DEA">
        <w:rPr>
          <w:i/>
        </w:rPr>
        <w:t>deberá poner la denominación concreta del órgano que dentro de la organización de la entidad auditada desempeñe la función de gestión</w:t>
      </w:r>
      <w:r>
        <w:t>) somos responsables de la preparación, presentación y contenido de las cuentas anuales y, de haber sido necesario, hemos realizado todas las indagaciones y consultas para alcanzar una comprensión adecuada de todas las cuestiones relacionadas con las cuentas anuales tanto en su contenido como en su proceso de elaboración.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2. Dichas cuentas anuales han sido obtenidas de los registros de contabilidad de</w:t>
      </w:r>
      <w:r w:rsidR="00DB57A8">
        <w:t xml:space="preserve"> </w:t>
      </w:r>
      <w:r>
        <w:t>l</w:t>
      </w:r>
      <w:r w:rsidR="00DB57A8">
        <w:t>a</w:t>
      </w:r>
      <w:r>
        <w:t xml:space="preserve"> </w:t>
      </w:r>
      <w:r w:rsidR="00DB57A8">
        <w:t>entidad</w:t>
      </w:r>
      <w:r>
        <w:t xml:space="preserve">, </w:t>
      </w:r>
      <w:r w:rsidR="00DB57A8">
        <w:t>y</w:t>
      </w:r>
      <w:r>
        <w:t xml:space="preserve"> reflejan la totalidad de sus transacciones y de sus activos y pasivos expresando</w:t>
      </w:r>
      <w:r w:rsidR="00BD053E">
        <w:t>,</w:t>
      </w:r>
      <w:r>
        <w:t xml:space="preserve"> </w:t>
      </w:r>
      <w:r w:rsidR="00BD053E" w:rsidRPr="006264D3">
        <w:rPr>
          <w:rFonts w:cstheme="minorHAnsi"/>
        </w:rPr>
        <w:t>en todos los aspectos significativos, la imagen fiel del patrimonio, de la situación financiera, de los resultados de la entidad</w:t>
      </w:r>
      <w:r w:rsidR="00BD053E">
        <w:rPr>
          <w:rFonts w:cstheme="minorHAnsi"/>
        </w:rPr>
        <w:t xml:space="preserve"> </w:t>
      </w:r>
      <w:r w:rsidR="00BD053E" w:rsidRPr="006264D3">
        <w:rPr>
          <w:rFonts w:cstheme="minorHAnsi"/>
        </w:rPr>
        <w:t xml:space="preserve">y </w:t>
      </w:r>
      <w:r w:rsidR="00BD053E">
        <w:rPr>
          <w:rFonts w:cstheme="minorHAnsi"/>
        </w:rPr>
        <w:t>(</w:t>
      </w:r>
      <w:r w:rsidR="00BD053E" w:rsidRPr="006264D3">
        <w:rPr>
          <w:rFonts w:cstheme="minorHAnsi"/>
        </w:rPr>
        <w:t>en su caso</w:t>
      </w:r>
      <w:r w:rsidR="00BD053E">
        <w:rPr>
          <w:rFonts w:cstheme="minorHAnsi"/>
        </w:rPr>
        <w:t>)</w:t>
      </w:r>
      <w:r w:rsidR="00BD053E" w:rsidRPr="006264D3">
        <w:rPr>
          <w:rFonts w:cstheme="minorHAnsi"/>
        </w:rPr>
        <w:t xml:space="preserve"> de los flujos de efectivo</w:t>
      </w:r>
      <w:r w:rsidRPr="00F03ED3">
        <w:t xml:space="preserve"> correspondientes al ejercicio an</w:t>
      </w:r>
      <w:r>
        <w:t>ual terminado en dicha fecha</w:t>
      </w:r>
      <w:r w:rsidRPr="00F03ED3">
        <w:t>,</w:t>
      </w:r>
      <w:r>
        <w:t xml:space="preserve"> </w:t>
      </w:r>
      <w:r w:rsidRPr="00F03ED3">
        <w:t>de conformidad con el marco normativo de información financiera que resulta de aplicación y, en particular, con los principios y criterios con</w:t>
      </w:r>
      <w:r>
        <w:t xml:space="preserve">tables contenidos en el mismo. </w:t>
      </w:r>
    </w:p>
    <w:p w:rsidR="00537E78" w:rsidRDefault="00537E78" w:rsidP="00537E78">
      <w:pPr>
        <w:jc w:val="both"/>
      </w:pPr>
      <w:r w:rsidRPr="00FD4798">
        <w:rPr>
          <w:i/>
        </w:rPr>
        <w:t>(En el caso de ser un organismo de presupuesto limitativo habría que confirmar también la correcta aplicación de los principios presupuestarios</w:t>
      </w:r>
      <w:r>
        <w:rPr>
          <w:i/>
        </w:rPr>
        <w:t xml:space="preserve"> de la misma forma que consta en el modelo de opinión recogido en la Norma sobre informes de 2013</w:t>
      </w:r>
      <w:r>
        <w:t xml:space="preserve">) 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 xml:space="preserve">En relación con el párrafo anterior, no se ha modificado la información que figura presentada de forma comparativa y  el caso de haberse efectuado se ha incluido toda la información necesaria para favorecer la comparabilidad de acuerdo con el marco de información financiera aplicable. 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3. Les informamos que hasta donde conocemos, les hemos facilitado el</w:t>
      </w:r>
      <w:r w:rsidRPr="007E3ADC">
        <w:t xml:space="preserve"> acceso</w:t>
      </w:r>
      <w:r w:rsidR="00722867">
        <w:t xml:space="preserve"> durante el periodo de la auditoría y hasta la fecha de esta carta</w:t>
      </w:r>
      <w:r w:rsidRPr="007E3ADC">
        <w:t xml:space="preserve"> a todos los registros contables</w:t>
      </w:r>
      <w:r>
        <w:t>, administrativos e informáticos</w:t>
      </w:r>
      <w:r w:rsidRPr="007E3ADC">
        <w:t xml:space="preserve">, </w:t>
      </w:r>
      <w:r>
        <w:t xml:space="preserve">a los </w:t>
      </w:r>
      <w:r w:rsidRPr="007E3ADC">
        <w:t>contratos, acuerdos</w:t>
      </w:r>
      <w:r>
        <w:t xml:space="preserve">, convenios, conciertos, planes de trabajo, proyectos, presupuestos; así como, </w:t>
      </w:r>
      <w:r w:rsidRPr="00B148F8">
        <w:t>cualesqui</w:t>
      </w:r>
      <w:r>
        <w:t>era otros documentos que soporta</w:t>
      </w:r>
      <w:r w:rsidRPr="00B148F8">
        <w:t xml:space="preserve">n apuntes contables o compromisos para el organismo que le puedan </w:t>
      </w:r>
      <w:r>
        <w:t>generar derechos y obligaciones o información en las cuentas anuales, que</w:t>
      </w:r>
      <w:r w:rsidRPr="007E3ADC">
        <w:t xml:space="preserve"> </w:t>
      </w:r>
      <w:r>
        <w:t xml:space="preserve">ha sido puesta a su disposición la </w:t>
      </w:r>
      <w:r w:rsidRPr="007E3ADC">
        <w:t>documentación complementaria e información que nos ha sido solicitada</w:t>
      </w:r>
      <w:r>
        <w:t xml:space="preserve">; así como </w:t>
      </w:r>
      <w:r w:rsidR="00CD688C">
        <w:t xml:space="preserve">que </w:t>
      </w:r>
      <w:r>
        <w:t xml:space="preserve">han podido establecer comunicación libremente con aquellos empleados </w:t>
      </w:r>
      <w:r w:rsidR="00CD688C">
        <w:t xml:space="preserve">de la entidad </w:t>
      </w:r>
      <w:r>
        <w:t xml:space="preserve">que han considerado necesarios para obtener evidencia y realizar todas las indagaciones que han entendido pertinentes. </w:t>
      </w:r>
    </w:p>
    <w:p w:rsidR="00537E78" w:rsidRDefault="00537E78" w:rsidP="00537E78">
      <w:pPr>
        <w:jc w:val="both"/>
      </w:pPr>
      <w:r w:rsidRPr="00710DEA">
        <w:rPr>
          <w:i/>
        </w:rPr>
        <w:t>(</w:t>
      </w:r>
      <w:r w:rsidR="00777F3E" w:rsidRPr="00710DEA">
        <w:rPr>
          <w:i/>
        </w:rPr>
        <w:t>En</w:t>
      </w:r>
      <w:r w:rsidRPr="00710DEA">
        <w:rPr>
          <w:i/>
        </w:rPr>
        <w:t xml:space="preserve"> el caso de que exista alguna limitación al alcance</w:t>
      </w:r>
      <w:r>
        <w:rPr>
          <w:i/>
        </w:rPr>
        <w:t>, la cual ha de ser correspondiente en su confirmación con lo que constará en el informe de auditoría el texto sería:</w:t>
      </w:r>
      <w:r>
        <w:t xml:space="preserve"> </w:t>
      </w: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lastRenderedPageBreak/>
        <w:t>En relación con el apartado anterior, les confirmamos que no nos ha sido posible facilitarles la información solicitada siguiente:</w:t>
      </w:r>
    </w:p>
    <w:p w:rsidR="00537E78" w:rsidRDefault="00537E78" w:rsidP="00537E78">
      <w:pPr>
        <w:jc w:val="both"/>
      </w:pP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t>-</w:t>
      </w: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t>-</w:t>
      </w: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t>-</w:t>
      </w: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t>-</w:t>
      </w:r>
    </w:p>
    <w:p w:rsidR="00537E78" w:rsidRPr="0043439E" w:rsidRDefault="00537E78" w:rsidP="00537E78">
      <w:pPr>
        <w:jc w:val="both"/>
        <w:rPr>
          <w:i/>
        </w:rPr>
      </w:pPr>
      <w:r w:rsidRPr="0043439E">
        <w:rPr>
          <w:i/>
        </w:rPr>
        <w:t>Y entendemos que, en su caso, la falta de análisis de esta información puede tener efecto, en su caso, en el informe de auditoría que será emitido por ustedes</w:t>
      </w:r>
      <w:r>
        <w:rPr>
          <w:i/>
        </w:rPr>
        <w:t>)</w:t>
      </w:r>
      <w:r w:rsidRPr="0043439E">
        <w:rPr>
          <w:i/>
        </w:rPr>
        <w:t>.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4.- La persona competencialmente encargada ha realizado una relación de todas las actas o documentos similares correspondientes a los órganos colegiados (</w:t>
      </w:r>
      <w:r w:rsidRPr="00B148F8">
        <w:rPr>
          <w:i/>
        </w:rPr>
        <w:t>concretar qué tipo de órgano</w:t>
      </w:r>
      <w:r>
        <w:t>), los cuales han sido puestos en su totalidad a su disposición durante el periodo de la auditoría hasta la fecha de esta carta.  En un documento adjunto, firmado por el responsable de dichos órganos, se detalla</w:t>
      </w:r>
      <w:r w:rsidR="00BD3089">
        <w:t>n</w:t>
      </w:r>
      <w:r>
        <w:t xml:space="preserve"> con expresión de lugar, fecha y tipo de órgano. 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5.- Consideramos que hemos cumplido con todas nuestras obligaciones contractuales y legales y no tenemos conocimiento de posibles incumplimientos de la normativa aplicable cuyos efectos deban ser considerados en las cuentas anuales. Hemos informado adecuadamente de las contingencias, litigios, reclamaciones o recursos, en caso de que estos se hayan producido</w:t>
      </w:r>
      <w:r w:rsidR="00BD3089">
        <w:t>.</w:t>
      </w:r>
      <w:r>
        <w:t xml:space="preserve"> (</w:t>
      </w:r>
      <w:r w:rsidR="00BD3089">
        <w:rPr>
          <w:i/>
        </w:rPr>
        <w:t>D</w:t>
      </w:r>
      <w:r w:rsidRPr="00B379A0">
        <w:rPr>
          <w:i/>
        </w:rPr>
        <w:t>e haber incumplimientos</w:t>
      </w:r>
      <w:r>
        <w:rPr>
          <w:i/>
        </w:rPr>
        <w:t>,</w:t>
      </w:r>
      <w:r>
        <w:t xml:space="preserve"> </w:t>
      </w:r>
      <w:r w:rsidRPr="009759DB">
        <w:rPr>
          <w:i/>
        </w:rPr>
        <w:t>detalla</w:t>
      </w:r>
      <w:r>
        <w:rPr>
          <w:i/>
        </w:rPr>
        <w:t>r cuáles son  y en que cuenta o nota de la memoria se encuentran</w:t>
      </w:r>
      <w:r>
        <w:t xml:space="preserve">). </w:t>
      </w:r>
    </w:p>
    <w:p w:rsidR="00BD053E" w:rsidRDefault="00BD053E" w:rsidP="00537E78">
      <w:pPr>
        <w:jc w:val="both"/>
      </w:pPr>
    </w:p>
    <w:p w:rsidR="00537E78" w:rsidRDefault="00BD053E" w:rsidP="00537E78">
      <w:pPr>
        <w:jc w:val="both"/>
      </w:pPr>
      <w:r>
        <w:t>6</w:t>
      </w:r>
      <w:r w:rsidR="00537E78">
        <w:t xml:space="preserve">.- Somos responsables del control interno de la entidad, tanto del diseño como de su funcionamiento para prevenir el error y el fraude y, según nuestro leal saber y entender, los sistemas de control han funcionado correctamente durante el periodo de auditoría, hasta la fecha de esta carta. No tenemos conocimiento de que se haya producido fraude o indicios de fraude ni existe ninguna causa abierta, ni judicial ni administrativa o de otra índole, por dicho motivo en ninguna </w:t>
      </w:r>
      <w:r w:rsidR="00F625E5">
        <w:t>i</w:t>
      </w:r>
      <w:r w:rsidR="00537E78">
        <w:t xml:space="preserve">nstancia  o </w:t>
      </w:r>
      <w:r w:rsidR="00F625E5">
        <w:t>i</w:t>
      </w:r>
      <w:r w:rsidR="00537E78">
        <w:t>nstitución</w:t>
      </w:r>
      <w:r w:rsidR="00537E78" w:rsidRPr="003A39E2">
        <w:rPr>
          <w:i/>
        </w:rPr>
        <w:t xml:space="preserve"> (en caso contrario, sería necesario relacionarlas</w:t>
      </w:r>
      <w:r w:rsidR="00537E78">
        <w:t>).</w:t>
      </w:r>
      <w:r w:rsidRPr="00207724">
        <w:t xml:space="preserve"> Y no estamos incursos en ningún tipo de inspección o control por parte de organismos reguladores o supervisores</w:t>
      </w:r>
      <w:r w:rsidRPr="00BD053E">
        <w:t>.</w:t>
      </w:r>
      <w:r w:rsidRPr="00BD053E">
        <w:rPr>
          <w:i/>
        </w:rPr>
        <w:t xml:space="preserve"> (</w:t>
      </w:r>
      <w:r w:rsidR="00B5669A" w:rsidRPr="00207724">
        <w:rPr>
          <w:i/>
        </w:rPr>
        <w:t>En</w:t>
      </w:r>
      <w:r w:rsidRPr="00207724">
        <w:rPr>
          <w:i/>
        </w:rPr>
        <w:t xml:space="preserve"> caso contrario habría que indicar, el organismo, la función, la fecha y de existir, los resultados</w:t>
      </w:r>
      <w:r>
        <w:rPr>
          <w:i/>
        </w:rPr>
        <w:t>).</w:t>
      </w:r>
    </w:p>
    <w:p w:rsidR="00537E78" w:rsidRDefault="00537E78" w:rsidP="00537E78">
      <w:pPr>
        <w:jc w:val="both"/>
      </w:pPr>
    </w:p>
    <w:p w:rsidR="00537E78" w:rsidRDefault="00BD053E" w:rsidP="00537E78">
      <w:pPr>
        <w:jc w:val="both"/>
      </w:pPr>
      <w:r>
        <w:t>7</w:t>
      </w:r>
      <w:r w:rsidR="00732575">
        <w:t>.-</w:t>
      </w:r>
      <w:r w:rsidR="00732575" w:rsidRPr="00732575">
        <w:t xml:space="preserve"> </w:t>
      </w:r>
      <w:r w:rsidR="00732575" w:rsidRPr="00A87D32">
        <w:t>Entre el día de la formulación de las cuentas anuales y la fecha de esta carta, no ha ocurrido ningún hecho ni se ha puesto de manifiesto ningún aspecto que pudiera afectar, significativamente a las cuentas anuales y que no esté reflejado en las</w:t>
      </w:r>
      <w:r w:rsidR="00732575">
        <w:t xml:space="preserve"> ellas.</w:t>
      </w:r>
    </w:p>
    <w:p w:rsidR="00732575" w:rsidRDefault="00732575" w:rsidP="00537E78">
      <w:pPr>
        <w:jc w:val="both"/>
      </w:pPr>
    </w:p>
    <w:p w:rsidR="00732575" w:rsidRDefault="00BD053E" w:rsidP="00537E78">
      <w:pPr>
        <w:jc w:val="both"/>
      </w:pPr>
      <w:r>
        <w:t>8</w:t>
      </w:r>
      <w:r w:rsidR="00732575">
        <w:t>.-</w:t>
      </w:r>
      <w:r w:rsidR="00732575" w:rsidRPr="00732575">
        <w:t>La entidad tiene</w:t>
      </w:r>
      <w:r w:rsidR="0025614D">
        <w:t xml:space="preserve">, según los casos, </w:t>
      </w:r>
      <w:r w:rsidR="00732575" w:rsidRPr="00732575">
        <w:t xml:space="preserve">título de propiedad o acuerdo de adscripción </w:t>
      </w:r>
      <w:r>
        <w:t xml:space="preserve">o cesión </w:t>
      </w:r>
      <w:r w:rsidR="00732575" w:rsidRPr="00732575">
        <w:t>adecuado de todos los bienes activos contabilizados, los cuales están libres de gravámenes e hipotecas, salvo los indicados en la memoria.</w:t>
      </w:r>
    </w:p>
    <w:p w:rsidR="00732575" w:rsidRDefault="00732575" w:rsidP="00537E78">
      <w:pPr>
        <w:jc w:val="both"/>
      </w:pPr>
    </w:p>
    <w:p w:rsidR="00732575" w:rsidRDefault="00BD053E" w:rsidP="00732575">
      <w:pPr>
        <w:jc w:val="both"/>
      </w:pPr>
      <w:r>
        <w:t>9.</w:t>
      </w:r>
      <w:r w:rsidR="00732575">
        <w:t>-Se espera que todos los elementos del activo circulante puedan ser utilizados en el curso normal del negocio</w:t>
      </w:r>
      <w:r>
        <w:t xml:space="preserve"> o la actividad</w:t>
      </w:r>
      <w:r w:rsidR="00732575">
        <w:t xml:space="preserve">, o enajenados y cobrados al menos por la cuantía neta con que figuran en el balance. </w:t>
      </w:r>
    </w:p>
    <w:p w:rsidR="00732575" w:rsidRDefault="00732575" w:rsidP="00732575">
      <w:pPr>
        <w:jc w:val="both"/>
      </w:pPr>
    </w:p>
    <w:p w:rsidR="00732575" w:rsidRDefault="00732575" w:rsidP="00732575">
      <w:pPr>
        <w:jc w:val="both"/>
      </w:pPr>
      <w:r>
        <w:t>1</w:t>
      </w:r>
      <w:r w:rsidR="00BD053E">
        <w:t>0</w:t>
      </w:r>
      <w:r>
        <w:t xml:space="preserve">. -La entidad no tenía, ni tiene, operaciones con instituciones financieras que supongan una restricción a la libre disposición de saldos en efectivo, u otros activos o pasivos financieros, salvo aquellas que figuran en la memoria. </w:t>
      </w:r>
    </w:p>
    <w:p w:rsidR="00732575" w:rsidRDefault="00732575" w:rsidP="00732575">
      <w:pPr>
        <w:jc w:val="both"/>
      </w:pPr>
    </w:p>
    <w:p w:rsidR="00732575" w:rsidRDefault="00732575" w:rsidP="00732575">
      <w:pPr>
        <w:jc w:val="both"/>
      </w:pPr>
      <w:r>
        <w:t>1</w:t>
      </w:r>
      <w:r w:rsidR="00BD053E">
        <w:t>1</w:t>
      </w:r>
      <w:r>
        <w:t xml:space="preserve">.-Se ha realizado provisión adecuada para todos los impuestos, tanto de ámbito local como estatal. Por otra parte, no esperamos que al inspeccionarse los ejercicios abiertos el importe </w:t>
      </w:r>
      <w:r>
        <w:lastRenderedPageBreak/>
        <w:t>de las eventuales liquidac</w:t>
      </w:r>
      <w:r w:rsidR="00187385">
        <w:t>iones adicionales modifique, su</w:t>
      </w:r>
      <w:r>
        <w:t>stancialmente, las provisiones existentes para tal fin en las cuentas anuales.</w:t>
      </w:r>
    </w:p>
    <w:p w:rsidR="00187385" w:rsidRDefault="00187385" w:rsidP="00732575">
      <w:pPr>
        <w:jc w:val="both"/>
      </w:pPr>
    </w:p>
    <w:p w:rsidR="00732575" w:rsidRDefault="00732575" w:rsidP="00732575">
      <w:pPr>
        <w:jc w:val="both"/>
      </w:pPr>
      <w:r>
        <w:t>1</w:t>
      </w:r>
      <w:r w:rsidR="00BD053E">
        <w:t>2</w:t>
      </w:r>
      <w:r w:rsidR="00B5669A">
        <w:t>. En</w:t>
      </w:r>
      <w:r>
        <w:t xml:space="preserve"> relación a los valores razonables utilizados para la valoración de determinados elementos incluidos en las cuentas anuales de la </w:t>
      </w:r>
      <w:r w:rsidR="00A65E4E">
        <w:t>Entidad</w:t>
      </w:r>
      <w:r>
        <w:t>, manifestamos expresamente que:</w:t>
      </w:r>
    </w:p>
    <w:p w:rsidR="00732575" w:rsidRDefault="00732575" w:rsidP="0025614D">
      <w:pPr>
        <w:ind w:left="708"/>
        <w:jc w:val="both"/>
      </w:pPr>
      <w:r>
        <w:t>a)</w:t>
      </w:r>
      <w:r w:rsidR="00187385">
        <w:t xml:space="preserve"> </w:t>
      </w:r>
      <w:r>
        <w:t>Los métodos de valoración, los datos y las hipótesis utilizadas por la Dirección para determinar los valores razonables son adecuados teniendo en cuenta el marco normativo de información financiera, y se han aplicado de manera uniforme.</w:t>
      </w:r>
    </w:p>
    <w:p w:rsidR="00732575" w:rsidRDefault="00732575" w:rsidP="0025614D">
      <w:pPr>
        <w:ind w:left="708"/>
        <w:jc w:val="both"/>
      </w:pPr>
      <w:r>
        <w:t>b)</w:t>
      </w:r>
      <w:r w:rsidR="00187385">
        <w:t xml:space="preserve"> </w:t>
      </w:r>
      <w:r>
        <w:t>Los desgloses relativos a la aplicación del criterio del valor razonable realizados son íntegros y adecuados y están establecidas de acuerdo al marco normativo de información financiera aplicable a la entidad.</w:t>
      </w:r>
    </w:p>
    <w:p w:rsidR="00732575" w:rsidRDefault="00732575" w:rsidP="0025614D">
      <w:pPr>
        <w:ind w:left="708"/>
        <w:jc w:val="both"/>
      </w:pPr>
      <w:r>
        <w:t>c) Los hechos posteriores acaecidos desde la fecha de cierre de las cuentas anuales hasta la fecha, no han supuesto modificaciones significativas respecto a la determinación y/o la información financiera incluida en las cuentas anuales sobre los valores razonables.</w:t>
      </w:r>
    </w:p>
    <w:p w:rsidR="00732575" w:rsidRDefault="00732575" w:rsidP="00537E78">
      <w:pPr>
        <w:jc w:val="both"/>
      </w:pPr>
    </w:p>
    <w:p w:rsidR="00537E78" w:rsidRDefault="00537E78" w:rsidP="00537E78">
      <w:pPr>
        <w:jc w:val="both"/>
      </w:pPr>
      <w:r>
        <w:t>Hemos empleado valoración a valor razonable</w:t>
      </w:r>
      <w:r w:rsidR="00732575">
        <w:t xml:space="preserve"> en la forma indicada </w:t>
      </w:r>
      <w:r>
        <w:t xml:space="preserve"> para la realización de estimaciones contables en las siguientes partidas:</w:t>
      </w:r>
    </w:p>
    <w:p w:rsidR="00537E78" w:rsidRDefault="00537E78" w:rsidP="00537E78">
      <w:pPr>
        <w:jc w:val="both"/>
      </w:pPr>
      <w:r>
        <w:t>-</w:t>
      </w:r>
    </w:p>
    <w:p w:rsidR="00537E78" w:rsidRDefault="00537E78" w:rsidP="00537E78">
      <w:pPr>
        <w:jc w:val="both"/>
      </w:pPr>
      <w:r>
        <w:t>-</w:t>
      </w:r>
    </w:p>
    <w:p w:rsidR="00537E78" w:rsidRDefault="00537E78" w:rsidP="00537E78">
      <w:pPr>
        <w:jc w:val="both"/>
      </w:pPr>
      <w:r>
        <w:t>-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(</w:t>
      </w:r>
      <w:r w:rsidR="00777F3E" w:rsidRPr="00277C4D">
        <w:rPr>
          <w:i/>
        </w:rPr>
        <w:t>O</w:t>
      </w:r>
      <w:r w:rsidRPr="00277C4D">
        <w:rPr>
          <w:i/>
        </w:rPr>
        <w:t xml:space="preserve"> no hemos empleado métodos de valoración a valor razonable</w:t>
      </w:r>
      <w:r>
        <w:rPr>
          <w:i/>
        </w:rPr>
        <w:t xml:space="preserve"> en el caso de que ninguna partida ha sido valorada de dicha forma</w:t>
      </w:r>
      <w:r>
        <w:t>)</w:t>
      </w:r>
    </w:p>
    <w:p w:rsidR="00537E78" w:rsidRDefault="00537E78" w:rsidP="00537E78">
      <w:pPr>
        <w:jc w:val="both"/>
      </w:pPr>
    </w:p>
    <w:p w:rsidR="00537E78" w:rsidRDefault="00732575" w:rsidP="00537E78">
      <w:pPr>
        <w:jc w:val="both"/>
      </w:pPr>
      <w:r>
        <w:t>1</w:t>
      </w:r>
      <w:r w:rsidR="00BD053E">
        <w:t>3</w:t>
      </w:r>
      <w:r w:rsidR="00537E78">
        <w:t xml:space="preserve">.- No tenemos previsto realizar ningún plan o proyecto de transformación que pueda alterar sustancialmente la estructura de la entidad, ni nos consta que los tengan previstos otros órganos cuya decisión nos pudiera afectar; asimismo, se ha incluido en las cuentas anuales cualquier información relevante sobre riesgos e hipótesis que pueda afectar a la capacidad de continuar en la actividad de la organización </w:t>
      </w:r>
      <w:r w:rsidR="00537E78" w:rsidRPr="00BD053E">
        <w:t xml:space="preserve">o esta pueda ser </w:t>
      </w:r>
      <w:r w:rsidR="00BD053E" w:rsidRPr="00207724">
        <w:t>modificada</w:t>
      </w:r>
      <w:r w:rsidR="00BD053E" w:rsidRPr="00BD053E">
        <w:t xml:space="preserve"> </w:t>
      </w:r>
      <w:r w:rsidR="00537E78" w:rsidRPr="00BD053E">
        <w:t>sustancialmente (principio de empresa en funcionamiento).</w:t>
      </w:r>
      <w:r w:rsidR="00537E78">
        <w:t xml:space="preserve"> 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1</w:t>
      </w:r>
      <w:r w:rsidR="00BD053E">
        <w:t>4</w:t>
      </w:r>
      <w:r>
        <w:t xml:space="preserve">.-Les hemos facilitado toda la información sobre partes vinculadas, tanto la identidad como las operaciones realizadas con ellas, las cuales se han efectuado a precios de mercado y se hallan adecuadamente descritas en las cuentas. </w:t>
      </w:r>
    </w:p>
    <w:p w:rsidR="00537E78" w:rsidRDefault="00537E78" w:rsidP="00537E78">
      <w:pPr>
        <w:jc w:val="both"/>
      </w:pPr>
    </w:p>
    <w:p w:rsidR="001E5287" w:rsidRDefault="00732575" w:rsidP="00732575">
      <w:pPr>
        <w:jc w:val="both"/>
      </w:pPr>
      <w:r>
        <w:t>1</w:t>
      </w:r>
      <w:r w:rsidR="00BD053E">
        <w:t>5</w:t>
      </w:r>
      <w:r w:rsidR="00722867">
        <w:t>.-</w:t>
      </w:r>
      <w:r>
        <w:t xml:space="preserve">La </w:t>
      </w:r>
      <w:r w:rsidR="00A65E4E">
        <w:t>Entidad</w:t>
      </w:r>
      <w:r>
        <w:t xml:space="preserve"> no tiene compromisos por pensiones o prestaciones laborales similares de los que puedan derivarse obligaciones futuras, adicionales a las indicadas en las cuentas anuales.</w:t>
      </w:r>
    </w:p>
    <w:p w:rsidR="00732575" w:rsidRDefault="00732575" w:rsidP="00732575">
      <w:pPr>
        <w:jc w:val="both"/>
      </w:pPr>
      <w:r>
        <w:t xml:space="preserve"> </w:t>
      </w:r>
    </w:p>
    <w:p w:rsidR="00732575" w:rsidRDefault="00732575" w:rsidP="00732575">
      <w:pPr>
        <w:jc w:val="both"/>
      </w:pPr>
      <w:r>
        <w:t>1</w:t>
      </w:r>
      <w:r w:rsidR="00207724">
        <w:t>6</w:t>
      </w:r>
      <w:r>
        <w:t>.</w:t>
      </w:r>
      <w:r w:rsidR="00722867">
        <w:t>-</w:t>
      </w:r>
      <w:r>
        <w:t xml:space="preserve">La </w:t>
      </w:r>
      <w:r w:rsidR="00A65E4E">
        <w:t>Entidad</w:t>
      </w:r>
      <w:r>
        <w:t xml:space="preserve"> ha llevado a cabo todas sus operaciones con terceros de una forma independiente realizando sus operaciones en condiciones normales de mercado y en libre competencia. </w:t>
      </w:r>
    </w:p>
    <w:p w:rsidR="00187385" w:rsidRDefault="00187385" w:rsidP="00732575">
      <w:pPr>
        <w:jc w:val="both"/>
      </w:pPr>
    </w:p>
    <w:p w:rsidR="00732575" w:rsidRDefault="00207724" w:rsidP="00732575">
      <w:pPr>
        <w:jc w:val="both"/>
      </w:pPr>
      <w:r>
        <w:t>17.</w:t>
      </w:r>
      <w:r w:rsidR="00722867">
        <w:t>-</w:t>
      </w:r>
      <w:r w:rsidR="00732575">
        <w:t xml:space="preserve">Se ha incluido en la memoria de las cuentas anuales la información correspondiente a todas las retribuciones, anticipos, créditos, seguros de vida, planes de pensiones, garantías, </w:t>
      </w:r>
      <w:r w:rsidR="00B5669A">
        <w:t>etc.</w:t>
      </w:r>
      <w:r w:rsidR="00732575">
        <w:t>, relativas a los miembros del órgano de administración o de gestión, tal y como exige la normativa contable que le es de aplicación.</w:t>
      </w:r>
    </w:p>
    <w:p w:rsidR="00537E78" w:rsidRDefault="00556F9B" w:rsidP="00537E78">
      <w:pPr>
        <w:jc w:val="both"/>
      </w:pPr>
      <w:r>
        <w:t>…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Atentamente,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lastRenderedPageBreak/>
        <w:t>Director Financiero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>
        <w:t>Presidente o Director del Organismo</w:t>
      </w:r>
    </w:p>
    <w:p w:rsidR="00537E78" w:rsidRDefault="00537E78" w:rsidP="00537E78">
      <w:pPr>
        <w:jc w:val="both"/>
      </w:pPr>
    </w:p>
    <w:p w:rsidR="00537E78" w:rsidRDefault="00537E78" w:rsidP="00537E78">
      <w:pPr>
        <w:jc w:val="both"/>
      </w:pPr>
      <w:r w:rsidRPr="009662AF">
        <w:rPr>
          <w:b/>
          <w:u w:val="single"/>
        </w:rPr>
        <w:t>Nota sobre la firma</w:t>
      </w:r>
      <w:r>
        <w:t>: Puede ser conveniente que la carta sea firmada por quien tiene la responsabilidad de formular y elaborar las cuentas, y en caso de ser distintos</w:t>
      </w:r>
      <w:r w:rsidR="00B71FAE">
        <w:t>,</w:t>
      </w:r>
      <w:r>
        <w:t xml:space="preserve"> por ambos. </w:t>
      </w:r>
    </w:p>
    <w:p w:rsidR="00537E78" w:rsidRDefault="00537E78" w:rsidP="00537E78">
      <w:pPr>
        <w:jc w:val="both"/>
      </w:pPr>
      <w:r w:rsidRPr="009662AF">
        <w:rPr>
          <w:b/>
          <w:u w:val="single"/>
        </w:rPr>
        <w:t>Nota sobre la fecha de la carta</w:t>
      </w:r>
      <w:r w:rsidRPr="0043439E">
        <w:rPr>
          <w:b/>
        </w:rPr>
        <w:t>:</w:t>
      </w:r>
      <w:r>
        <w:t xml:space="preserve"> la fecha de la carta debe ser lo más cercana posible a la fecha del informe, y si es coincidente con dicha fecha se reduce el riesgo del auditor y se cumple con el espíritu de las normas de auditoría.</w:t>
      </w:r>
    </w:p>
    <w:p w:rsidR="006351BD" w:rsidRPr="00096B47" w:rsidRDefault="00537E78" w:rsidP="00B86319">
      <w:pPr>
        <w:jc w:val="both"/>
        <w:rPr>
          <w:rFonts w:cstheme="minorHAnsi"/>
        </w:rPr>
      </w:pPr>
      <w:r w:rsidRPr="009662AF">
        <w:rPr>
          <w:b/>
          <w:u w:val="single"/>
        </w:rPr>
        <w:t>Nota sobre el contenido:</w:t>
      </w:r>
      <w:r>
        <w:t xml:space="preserve"> el contenido indicado debe ser estándar, en caso de no aplicación de un párrafo, no será preciso ponerlo con tal de que en los papeles de trabajo se justifique la omisión; por el contrario, si el auditor considera que se ha de incluir un párrafo adicional, </w:t>
      </w:r>
      <w:r w:rsidRPr="009D2576">
        <w:rPr>
          <w:rFonts w:cstheme="minorHAnsi"/>
        </w:rPr>
        <w:t>también puede incluirse con tal de que se justifique en los papeles de trabajo.</w:t>
      </w:r>
    </w:p>
    <w:p w:rsidR="00096B47" w:rsidRDefault="00096B47" w:rsidP="00B86319">
      <w:pPr>
        <w:jc w:val="both"/>
        <w:rPr>
          <w:rFonts w:cstheme="minorHAnsi"/>
        </w:rPr>
      </w:pPr>
    </w:p>
    <w:p w:rsidR="00722867" w:rsidRDefault="00722867" w:rsidP="00B86319">
      <w:pPr>
        <w:jc w:val="both"/>
        <w:rPr>
          <w:rFonts w:cstheme="minorHAnsi"/>
        </w:rPr>
      </w:pPr>
      <w:r w:rsidRPr="00096B47">
        <w:rPr>
          <w:rFonts w:cstheme="minorHAnsi"/>
        </w:rPr>
        <w:t xml:space="preserve">En el caso concreto de </w:t>
      </w:r>
      <w:r w:rsidRPr="00207724">
        <w:rPr>
          <w:rFonts w:cstheme="minorHAnsi"/>
          <w:b/>
        </w:rPr>
        <w:t>entidades consolidadas</w:t>
      </w:r>
      <w:r w:rsidRPr="008D3123">
        <w:rPr>
          <w:rFonts w:cstheme="minorHAnsi"/>
        </w:rPr>
        <w:t xml:space="preserve"> habr</w:t>
      </w:r>
      <w:r w:rsidRPr="00187385">
        <w:rPr>
          <w:rFonts w:cstheme="minorHAnsi"/>
        </w:rPr>
        <w:t xml:space="preserve">ía que tener en cuenta </w:t>
      </w:r>
      <w:r w:rsidR="00207724">
        <w:rPr>
          <w:rFonts w:cstheme="minorHAnsi"/>
        </w:rPr>
        <w:t xml:space="preserve">esta circunstancia </w:t>
      </w:r>
      <w:r w:rsidRPr="00187385">
        <w:rPr>
          <w:rFonts w:cstheme="minorHAnsi"/>
        </w:rPr>
        <w:t>y añadir en cada uno de los puntos la menci</w:t>
      </w:r>
      <w:r w:rsidRPr="00706273">
        <w:rPr>
          <w:rFonts w:cstheme="minorHAnsi"/>
        </w:rPr>
        <w:t>ón al grup</w:t>
      </w:r>
      <w:r w:rsidR="001E5287">
        <w:rPr>
          <w:rFonts w:cstheme="minorHAnsi"/>
        </w:rPr>
        <w:t>o</w:t>
      </w:r>
      <w:r w:rsidRPr="00706273">
        <w:rPr>
          <w:rFonts w:cstheme="minorHAnsi"/>
        </w:rPr>
        <w:t xml:space="preserve"> e incluir los siguientes puntos adicionales:</w:t>
      </w:r>
    </w:p>
    <w:p w:rsidR="00613F76" w:rsidRPr="00D62DA9" w:rsidRDefault="00613F76" w:rsidP="00B86319">
      <w:pPr>
        <w:jc w:val="both"/>
        <w:rPr>
          <w:rFonts w:cstheme="minorHAnsi"/>
        </w:rPr>
      </w:pPr>
    </w:p>
    <w:p w:rsidR="009D2576" w:rsidRPr="00613F76" w:rsidRDefault="009D2576" w:rsidP="00613F76">
      <w:pPr>
        <w:numPr>
          <w:ilvl w:val="0"/>
          <w:numId w:val="5"/>
        </w:numPr>
        <w:tabs>
          <w:tab w:val="num" w:pos="1069"/>
        </w:tabs>
        <w:ind w:left="714" w:hanging="357"/>
        <w:jc w:val="both"/>
        <w:rPr>
          <w:rFonts w:eastAsia="Times New Roman" w:cstheme="minorHAnsi"/>
          <w:szCs w:val="20"/>
          <w:lang w:eastAsia="es-ES"/>
        </w:rPr>
      </w:pPr>
      <w:r w:rsidRPr="00613F76">
        <w:rPr>
          <w:rFonts w:eastAsia="Times New Roman" w:cstheme="minorHAnsi"/>
          <w:szCs w:val="20"/>
          <w:lang w:eastAsia="es-ES"/>
        </w:rPr>
        <w:t xml:space="preserve">En la formulación de las cuentas consolidadas se ha incluido la información referente a todas las sociedades del grupo, </w:t>
      </w:r>
      <w:proofErr w:type="spellStart"/>
      <w:r w:rsidRPr="00613F76">
        <w:rPr>
          <w:rFonts w:eastAsia="Times New Roman" w:cstheme="minorHAnsi"/>
          <w:szCs w:val="20"/>
          <w:lang w:eastAsia="es-ES"/>
        </w:rPr>
        <w:t>multigrupo</w:t>
      </w:r>
      <w:proofErr w:type="spellEnd"/>
      <w:r w:rsidRPr="00613F76">
        <w:rPr>
          <w:rFonts w:eastAsia="Times New Roman" w:cstheme="minorHAnsi"/>
          <w:szCs w:val="20"/>
          <w:lang w:eastAsia="es-ES"/>
        </w:rPr>
        <w:t xml:space="preserve"> y asociadas que corresponde de acuerdo con la normativa contable que resulta de aplicación.</w:t>
      </w:r>
    </w:p>
    <w:p w:rsidR="009D2576" w:rsidRPr="00613F76" w:rsidRDefault="009D2576" w:rsidP="00613F76">
      <w:pPr>
        <w:numPr>
          <w:ilvl w:val="0"/>
          <w:numId w:val="5"/>
        </w:numPr>
        <w:tabs>
          <w:tab w:val="num" w:pos="1069"/>
        </w:tabs>
        <w:ind w:left="714" w:hanging="357"/>
        <w:jc w:val="both"/>
        <w:rPr>
          <w:rFonts w:eastAsia="Times New Roman" w:cstheme="minorHAnsi"/>
          <w:szCs w:val="20"/>
          <w:lang w:eastAsia="es-ES"/>
        </w:rPr>
      </w:pPr>
      <w:r w:rsidRPr="00613F76">
        <w:rPr>
          <w:rFonts w:eastAsia="Times New Roman" w:cstheme="minorHAnsi"/>
          <w:szCs w:val="20"/>
          <w:lang w:eastAsia="es-ES"/>
        </w:rPr>
        <w:t>La metodología y criterios utilizados en la elaboración de las cuentas del grupo justifican el importe contabilizado como fondo de comercio y su plan de amortización.</w:t>
      </w:r>
    </w:p>
    <w:p w:rsidR="009D2576" w:rsidRPr="00613F76" w:rsidRDefault="009D2576" w:rsidP="00613F76">
      <w:pPr>
        <w:numPr>
          <w:ilvl w:val="0"/>
          <w:numId w:val="5"/>
        </w:numPr>
        <w:tabs>
          <w:tab w:val="num" w:pos="1069"/>
        </w:tabs>
        <w:ind w:left="714" w:hanging="357"/>
        <w:jc w:val="both"/>
        <w:rPr>
          <w:rFonts w:eastAsia="Times New Roman" w:cstheme="minorHAnsi"/>
          <w:szCs w:val="20"/>
          <w:lang w:eastAsia="es-ES"/>
        </w:rPr>
      </w:pPr>
      <w:r w:rsidRPr="00613F76">
        <w:rPr>
          <w:rFonts w:eastAsia="Times New Roman" w:cstheme="minorHAnsi"/>
          <w:szCs w:val="20"/>
          <w:lang w:eastAsia="es-ES"/>
        </w:rPr>
        <w:t>La Entidad dominante no tiene conocimiento de ninguna otra transacción entre las sociedades del grupo que afecte y no se haya incluido en las cuentas anuales consolidadas examinadas.</w:t>
      </w:r>
    </w:p>
    <w:p w:rsidR="009D2576" w:rsidRPr="00613F76" w:rsidRDefault="009D2576" w:rsidP="00613F76">
      <w:pPr>
        <w:numPr>
          <w:ilvl w:val="0"/>
          <w:numId w:val="5"/>
        </w:numPr>
        <w:tabs>
          <w:tab w:val="num" w:pos="1069"/>
        </w:tabs>
        <w:ind w:left="714" w:hanging="357"/>
        <w:jc w:val="both"/>
        <w:rPr>
          <w:rFonts w:eastAsia="Times New Roman" w:cstheme="minorHAnsi"/>
          <w:szCs w:val="20"/>
          <w:lang w:eastAsia="es-ES"/>
        </w:rPr>
      </w:pPr>
      <w:r w:rsidRPr="00613F76">
        <w:rPr>
          <w:rFonts w:eastAsia="Times New Roman" w:cstheme="minorHAnsi"/>
          <w:szCs w:val="20"/>
          <w:lang w:eastAsia="es-ES"/>
        </w:rPr>
        <w:t xml:space="preserve">Dado que el supuesto de gestión continuada es un principio fundamental en la preparación de las </w:t>
      </w:r>
      <w:r w:rsidR="001E5287">
        <w:rPr>
          <w:rFonts w:eastAsia="Times New Roman" w:cstheme="minorHAnsi"/>
          <w:szCs w:val="20"/>
          <w:lang w:eastAsia="es-ES"/>
        </w:rPr>
        <w:t>c</w:t>
      </w:r>
      <w:r w:rsidRPr="00613F76">
        <w:rPr>
          <w:rFonts w:eastAsia="Times New Roman" w:cstheme="minorHAnsi"/>
          <w:szCs w:val="20"/>
          <w:lang w:eastAsia="es-ES"/>
        </w:rPr>
        <w:t xml:space="preserve">uentas </w:t>
      </w:r>
      <w:r w:rsidR="001E5287">
        <w:rPr>
          <w:rFonts w:eastAsia="Times New Roman" w:cstheme="minorHAnsi"/>
          <w:szCs w:val="20"/>
          <w:lang w:eastAsia="es-ES"/>
        </w:rPr>
        <w:t>a</w:t>
      </w:r>
      <w:r w:rsidRPr="00613F76">
        <w:rPr>
          <w:rFonts w:eastAsia="Times New Roman" w:cstheme="minorHAnsi"/>
          <w:szCs w:val="20"/>
          <w:lang w:eastAsia="es-ES"/>
        </w:rPr>
        <w:t>nuales, hemos evaluado responsablemente la capacidad que la Entidad y el grupo tienen para continuar su gestión por tiempo indefinido.</w:t>
      </w:r>
    </w:p>
    <w:p w:rsidR="00A65E4E" w:rsidRDefault="00A65E4E" w:rsidP="00B86319">
      <w:pPr>
        <w:jc w:val="both"/>
      </w:pPr>
    </w:p>
    <w:p w:rsidR="00722867" w:rsidRDefault="00722867" w:rsidP="00B86319">
      <w:pPr>
        <w:jc w:val="both"/>
      </w:pPr>
    </w:p>
    <w:sectPr w:rsidR="0072286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0E" w:rsidRDefault="0093220E" w:rsidP="004A2A50">
      <w:r>
        <w:separator/>
      </w:r>
    </w:p>
  </w:endnote>
  <w:endnote w:type="continuationSeparator" w:id="0">
    <w:p w:rsidR="0093220E" w:rsidRDefault="0093220E" w:rsidP="004A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0E" w:rsidRDefault="0093220E" w:rsidP="004A2A50">
      <w:r>
        <w:separator/>
      </w:r>
    </w:p>
  </w:footnote>
  <w:footnote w:type="continuationSeparator" w:id="0">
    <w:p w:rsidR="0093220E" w:rsidRDefault="0093220E" w:rsidP="004A2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80" w:rsidRDefault="006E5A80">
    <w:pPr>
      <w:pStyle w:val="Encabezado"/>
    </w:pPr>
  </w:p>
  <w:p w:rsidR="004521C5" w:rsidRPr="00F625E5" w:rsidRDefault="004521C5" w:rsidP="0085151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FA4"/>
    <w:multiLevelType w:val="hybridMultilevel"/>
    <w:tmpl w:val="A0F2E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F41D7"/>
    <w:multiLevelType w:val="hybridMultilevel"/>
    <w:tmpl w:val="38EAF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C620D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3">
    <w:nsid w:val="36C57517"/>
    <w:multiLevelType w:val="hybridMultilevel"/>
    <w:tmpl w:val="89B2E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548DC"/>
    <w:multiLevelType w:val="hybridMultilevel"/>
    <w:tmpl w:val="D166C8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D42E5"/>
    <w:multiLevelType w:val="hybridMultilevel"/>
    <w:tmpl w:val="294A6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848A1"/>
    <w:multiLevelType w:val="hybridMultilevel"/>
    <w:tmpl w:val="46F6B4A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F3"/>
    <w:rsid w:val="000503FF"/>
    <w:rsid w:val="00065B56"/>
    <w:rsid w:val="000666EA"/>
    <w:rsid w:val="00096B47"/>
    <w:rsid w:val="000B08B0"/>
    <w:rsid w:val="000C625D"/>
    <w:rsid w:val="000E4100"/>
    <w:rsid w:val="00103C20"/>
    <w:rsid w:val="00110453"/>
    <w:rsid w:val="00127CBC"/>
    <w:rsid w:val="00187385"/>
    <w:rsid w:val="001B60FA"/>
    <w:rsid w:val="001D0606"/>
    <w:rsid w:val="001E4BD3"/>
    <w:rsid w:val="001E5287"/>
    <w:rsid w:val="001F3B63"/>
    <w:rsid w:val="001F71F7"/>
    <w:rsid w:val="00207724"/>
    <w:rsid w:val="00212279"/>
    <w:rsid w:val="002206DF"/>
    <w:rsid w:val="0025614D"/>
    <w:rsid w:val="00270191"/>
    <w:rsid w:val="00296740"/>
    <w:rsid w:val="002D0519"/>
    <w:rsid w:val="002E5781"/>
    <w:rsid w:val="00347DD7"/>
    <w:rsid w:val="003520FB"/>
    <w:rsid w:val="003E6EE5"/>
    <w:rsid w:val="003F6E25"/>
    <w:rsid w:val="004136BE"/>
    <w:rsid w:val="0041445C"/>
    <w:rsid w:val="00416E33"/>
    <w:rsid w:val="004521C5"/>
    <w:rsid w:val="00482302"/>
    <w:rsid w:val="004A2A50"/>
    <w:rsid w:val="004E7537"/>
    <w:rsid w:val="00515EA5"/>
    <w:rsid w:val="00525DA3"/>
    <w:rsid w:val="00537E78"/>
    <w:rsid w:val="00540845"/>
    <w:rsid w:val="00556F9B"/>
    <w:rsid w:val="005D1E56"/>
    <w:rsid w:val="005D69F6"/>
    <w:rsid w:val="005E1E63"/>
    <w:rsid w:val="005E4EBE"/>
    <w:rsid w:val="00613F76"/>
    <w:rsid w:val="00614640"/>
    <w:rsid w:val="006351BD"/>
    <w:rsid w:val="0064172C"/>
    <w:rsid w:val="006545F3"/>
    <w:rsid w:val="006C2BA2"/>
    <w:rsid w:val="006D00E3"/>
    <w:rsid w:val="006E5A80"/>
    <w:rsid w:val="00706273"/>
    <w:rsid w:val="00706F4F"/>
    <w:rsid w:val="00722867"/>
    <w:rsid w:val="00732342"/>
    <w:rsid w:val="00732575"/>
    <w:rsid w:val="007508DF"/>
    <w:rsid w:val="00753BB7"/>
    <w:rsid w:val="00777F3E"/>
    <w:rsid w:val="00785277"/>
    <w:rsid w:val="007B433F"/>
    <w:rsid w:val="007E7AC4"/>
    <w:rsid w:val="00816903"/>
    <w:rsid w:val="00833480"/>
    <w:rsid w:val="00836136"/>
    <w:rsid w:val="0085050D"/>
    <w:rsid w:val="0085151A"/>
    <w:rsid w:val="008C1132"/>
    <w:rsid w:val="008C3939"/>
    <w:rsid w:val="008C7B4E"/>
    <w:rsid w:val="008D3123"/>
    <w:rsid w:val="008E1E9A"/>
    <w:rsid w:val="00903BF7"/>
    <w:rsid w:val="00912FD2"/>
    <w:rsid w:val="00931C95"/>
    <w:rsid w:val="0093220E"/>
    <w:rsid w:val="009416E6"/>
    <w:rsid w:val="0094547C"/>
    <w:rsid w:val="00962820"/>
    <w:rsid w:val="009662AF"/>
    <w:rsid w:val="00986FB3"/>
    <w:rsid w:val="009C3257"/>
    <w:rsid w:val="009C4449"/>
    <w:rsid w:val="009D2576"/>
    <w:rsid w:val="009D305A"/>
    <w:rsid w:val="009D3E13"/>
    <w:rsid w:val="009D559F"/>
    <w:rsid w:val="009D7717"/>
    <w:rsid w:val="00A11887"/>
    <w:rsid w:val="00A257F0"/>
    <w:rsid w:val="00A331A9"/>
    <w:rsid w:val="00A46372"/>
    <w:rsid w:val="00A63B4B"/>
    <w:rsid w:val="00A65E4E"/>
    <w:rsid w:val="00A908AC"/>
    <w:rsid w:val="00AA76CE"/>
    <w:rsid w:val="00AD4177"/>
    <w:rsid w:val="00AD4B1C"/>
    <w:rsid w:val="00AF42F1"/>
    <w:rsid w:val="00B01DCA"/>
    <w:rsid w:val="00B24E5C"/>
    <w:rsid w:val="00B315DD"/>
    <w:rsid w:val="00B5669A"/>
    <w:rsid w:val="00B60712"/>
    <w:rsid w:val="00B615B7"/>
    <w:rsid w:val="00B71FAE"/>
    <w:rsid w:val="00B83A49"/>
    <w:rsid w:val="00B86319"/>
    <w:rsid w:val="00BB4F31"/>
    <w:rsid w:val="00BC4509"/>
    <w:rsid w:val="00BD053E"/>
    <w:rsid w:val="00BD3089"/>
    <w:rsid w:val="00BF0714"/>
    <w:rsid w:val="00C007A9"/>
    <w:rsid w:val="00C13F79"/>
    <w:rsid w:val="00C239F4"/>
    <w:rsid w:val="00C44092"/>
    <w:rsid w:val="00C82AF5"/>
    <w:rsid w:val="00C87962"/>
    <w:rsid w:val="00CC16BF"/>
    <w:rsid w:val="00CC1C80"/>
    <w:rsid w:val="00CD688C"/>
    <w:rsid w:val="00D00BB4"/>
    <w:rsid w:val="00D0245E"/>
    <w:rsid w:val="00D23C07"/>
    <w:rsid w:val="00D43F7C"/>
    <w:rsid w:val="00D44FD0"/>
    <w:rsid w:val="00D62DA9"/>
    <w:rsid w:val="00D94A55"/>
    <w:rsid w:val="00DB57A8"/>
    <w:rsid w:val="00DC5200"/>
    <w:rsid w:val="00DE4096"/>
    <w:rsid w:val="00DF3661"/>
    <w:rsid w:val="00E15618"/>
    <w:rsid w:val="00E349FD"/>
    <w:rsid w:val="00E47E7D"/>
    <w:rsid w:val="00E63808"/>
    <w:rsid w:val="00E658E4"/>
    <w:rsid w:val="00EB5DF7"/>
    <w:rsid w:val="00EB6B1E"/>
    <w:rsid w:val="00EB7AE6"/>
    <w:rsid w:val="00F00D86"/>
    <w:rsid w:val="00F20FE9"/>
    <w:rsid w:val="00F228DA"/>
    <w:rsid w:val="00F257D7"/>
    <w:rsid w:val="00F625E5"/>
    <w:rsid w:val="00FA4ABE"/>
    <w:rsid w:val="00FC3E3C"/>
    <w:rsid w:val="00FC3EB3"/>
    <w:rsid w:val="00FC5A9A"/>
    <w:rsid w:val="00FD4737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80"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F228DA"/>
    <w:pPr>
      <w:widowControl w:val="0"/>
      <w:ind w:left="849" w:hanging="77"/>
      <w:outlineLvl w:val="0"/>
    </w:pPr>
    <w:rPr>
      <w:rFonts w:ascii="Bookman Old Style" w:eastAsia="Bookman Old Style" w:hAnsi="Bookman Old Style"/>
      <w:sz w:val="29"/>
      <w:szCs w:val="2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E57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2A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A5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A2A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A50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F3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6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366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3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3661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6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661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F228DA"/>
    <w:rPr>
      <w:rFonts w:ascii="Bookman Old Style" w:eastAsia="Bookman Old Style" w:hAnsi="Bookman Old Style"/>
      <w:sz w:val="29"/>
      <w:szCs w:val="29"/>
      <w:lang w:val="en-US"/>
    </w:rPr>
  </w:style>
  <w:style w:type="character" w:styleId="Hipervnculo">
    <w:name w:val="Hyperlink"/>
    <w:basedOn w:val="Fuentedeprrafopredeter"/>
    <w:uiPriority w:val="99"/>
    <w:unhideWhenUsed/>
    <w:rsid w:val="008515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80"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F228DA"/>
    <w:pPr>
      <w:widowControl w:val="0"/>
      <w:ind w:left="849" w:hanging="77"/>
      <w:outlineLvl w:val="0"/>
    </w:pPr>
    <w:rPr>
      <w:rFonts w:ascii="Bookman Old Style" w:eastAsia="Bookman Old Style" w:hAnsi="Bookman Old Style"/>
      <w:sz w:val="29"/>
      <w:szCs w:val="29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E57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2A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A5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A2A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A50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F3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36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366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3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3661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6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661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F228DA"/>
    <w:rPr>
      <w:rFonts w:ascii="Bookman Old Style" w:eastAsia="Bookman Old Style" w:hAnsi="Bookman Old Style"/>
      <w:sz w:val="29"/>
      <w:szCs w:val="29"/>
      <w:lang w:val="en-US"/>
    </w:rPr>
  </w:style>
  <w:style w:type="character" w:styleId="Hipervnculo">
    <w:name w:val="Hyperlink"/>
    <w:basedOn w:val="Fuentedeprrafopredeter"/>
    <w:uiPriority w:val="99"/>
    <w:unhideWhenUsed/>
    <w:rsid w:val="0085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9BB1ADB47A1468F539935EB637CBA" ma:contentTypeVersion="1" ma:contentTypeDescription="Crear nuevo documento." ma:contentTypeScope="" ma:versionID="2098a226ccd31af597c902043167a5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A966E-E31F-4B5F-ABCC-765319978C6C}"/>
</file>

<file path=customXml/itemProps2.xml><?xml version="1.0" encoding="utf-8"?>
<ds:datastoreItem xmlns:ds="http://schemas.openxmlformats.org/officeDocument/2006/customXml" ds:itemID="{06D42535-951C-43AD-94B3-18B7FF76AA36}"/>
</file>

<file path=customXml/itemProps3.xml><?xml version="1.0" encoding="utf-8"?>
<ds:datastoreItem xmlns:ds="http://schemas.openxmlformats.org/officeDocument/2006/customXml" ds:itemID="{A9D4D62E-1C8C-43F4-A83D-0C1A4388A294}"/>
</file>

<file path=customXml/itemProps4.xml><?xml version="1.0" encoding="utf-8"?>
<ds:datastoreItem xmlns:ds="http://schemas.openxmlformats.org/officeDocument/2006/customXml" ds:itemID="{2C5830B2-59B5-4F93-A0A4-725BE86F23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1649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Gutierrez García, Cándido</dc:creator>
  <cp:lastModifiedBy>Ibáñez Novella, Esther</cp:lastModifiedBy>
  <cp:revision>5</cp:revision>
  <cp:lastPrinted>2015-04-13T10:18:00Z</cp:lastPrinted>
  <dcterms:created xsi:type="dcterms:W3CDTF">2015-05-22T10:08:00Z</dcterms:created>
  <dcterms:modified xsi:type="dcterms:W3CDTF">2015-05-22T10:21:00Z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0x0101005679BB1ADB47A1468F539935EB637CBA</vt:lpwstr>
  </property>
  <property fmtid="{D5CDD505-2E9C-101B-9397-08002B2CF9AE}" pid="3" name="Categorizacion">
    <vt:lpwstr>14;#Control Público|0566717e-a6ef-49a4-967f-be6a3c40f48e;#21;#Control Público:Control Financiero Permanente|e0c3401e-592b-4368-bfa2-b69888920d2a</vt:lpwstr>
  </property>
  <property fmtid="{D5CDD505-2E9C-101B-9397-08002B2CF9AE}" pid="4" name="Order">
    <vt:r8>1000</vt:r8>
  </property>
</Properties>
</file>